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4455D399" w:rsidR="001726B2" w:rsidRPr="00967CFB" w:rsidRDefault="001726B2"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80D3B">
        <w:rPr>
          <w:rFonts w:ascii="Arial" w:hAnsi="Arial" w:cs="Arial"/>
          <w:b/>
          <w:bCs/>
          <w:sz w:val="28"/>
        </w:rPr>
        <w:t>3GPP TSG RAN WG1 #1</w:t>
      </w:r>
      <w:r w:rsidR="00393FFE">
        <w:rPr>
          <w:rFonts w:ascii="Arial" w:hAnsi="Arial" w:cs="Arial" w:hint="eastAsia"/>
          <w:b/>
          <w:bCs/>
          <w:sz w:val="28"/>
          <w:lang w:eastAsia="ko-KR"/>
        </w:rPr>
        <w:t>2</w:t>
      </w:r>
      <w:r w:rsidR="00C51CF0">
        <w:rPr>
          <w:rFonts w:ascii="Arial" w:hAnsi="Arial" w:cs="Arial" w:hint="eastAsia"/>
          <w:b/>
          <w:bCs/>
          <w:sz w:val="28"/>
          <w:lang w:eastAsia="ko-KR"/>
        </w:rPr>
        <w:t>2</w:t>
      </w:r>
      <w:r w:rsidRPr="00A80D3B">
        <w:rPr>
          <w:rFonts w:ascii="Arial" w:hAnsi="Arial" w:cs="Arial"/>
          <w:b/>
          <w:bCs/>
          <w:sz w:val="28"/>
        </w:rPr>
        <w:tab/>
      </w:r>
      <w:r w:rsidRPr="00A80D3B">
        <w:rPr>
          <w:rFonts w:ascii="Arial" w:hAnsi="Arial" w:cs="Arial"/>
          <w:b/>
          <w:bCs/>
          <w:sz w:val="28"/>
        </w:rPr>
        <w:tab/>
      </w:r>
      <w:r w:rsidR="00553F95">
        <w:rPr>
          <w:rFonts w:ascii="Arial" w:hAnsi="Arial" w:cs="Arial"/>
          <w:b/>
          <w:bCs/>
          <w:sz w:val="28"/>
        </w:rPr>
        <w:tab/>
      </w:r>
      <w:r w:rsidR="00601A68" w:rsidRPr="00601A68">
        <w:rPr>
          <w:rFonts w:ascii="Arial" w:hAnsi="Arial" w:cs="Arial"/>
          <w:b/>
          <w:bCs/>
          <w:sz w:val="28"/>
        </w:rPr>
        <w:t>R1-2505788</w:t>
      </w:r>
    </w:p>
    <w:p w14:paraId="6D3AA9FD" w14:textId="7F990A59" w:rsidR="00E53809" w:rsidRPr="00393FFE" w:rsidRDefault="00C51CF0" w:rsidP="001726B2">
      <w:pPr>
        <w:tabs>
          <w:tab w:val="center" w:pos="4536"/>
          <w:tab w:val="right" w:pos="9072"/>
        </w:tabs>
        <w:spacing w:after="0"/>
        <w:rPr>
          <w:rFonts w:ascii="Arial" w:eastAsiaTheme="minorEastAsia" w:hAnsi="Arial" w:cs="Arial"/>
          <w:b/>
          <w:bCs/>
          <w:sz w:val="28"/>
          <w:lang w:eastAsia="ko-KR"/>
        </w:rPr>
      </w:pPr>
      <w:r w:rsidRPr="00C51CF0">
        <w:rPr>
          <w:rFonts w:ascii="Arial" w:eastAsiaTheme="minorEastAsia" w:hAnsi="Arial" w:cs="Arial"/>
          <w:b/>
          <w:bCs/>
          <w:sz w:val="28"/>
          <w:lang w:eastAsia="ko-KR"/>
        </w:rPr>
        <w:t>Bengaluru, India, Aug 25th – 29th, 2025</w:t>
      </w:r>
    </w:p>
    <w:bookmarkEnd w:id="0"/>
    <w:p w14:paraId="1F350865" w14:textId="77777777" w:rsidR="00197EC1" w:rsidRPr="00E53809" w:rsidRDefault="00197EC1" w:rsidP="00197EC1">
      <w:pPr>
        <w:pStyle w:val="a9"/>
        <w:rPr>
          <w:lang w:val="en-GB"/>
        </w:rPr>
      </w:pPr>
    </w:p>
    <w:p w14:paraId="508FC223" w14:textId="65B1DF95"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C51CF0">
        <w:rPr>
          <w:rFonts w:ascii="Arial" w:hAnsi="Arial" w:hint="eastAsia"/>
          <w:sz w:val="24"/>
          <w:lang w:val="en-US" w:eastAsia="ko-KR"/>
        </w:rPr>
        <w:t>11</w:t>
      </w:r>
      <w:r w:rsidR="00071AA2">
        <w:rPr>
          <w:rFonts w:ascii="Arial" w:hAnsi="Arial"/>
          <w:sz w:val="24"/>
          <w:lang w:val="en-US"/>
        </w:rPr>
        <w:t>.</w:t>
      </w:r>
      <w:r w:rsidR="00E70AB6">
        <w:rPr>
          <w:rFonts w:ascii="Arial" w:hAnsi="Arial"/>
          <w:sz w:val="24"/>
          <w:lang w:val="en-US"/>
        </w:rPr>
        <w:t>3</w:t>
      </w:r>
      <w:r w:rsidR="00071AA2">
        <w:rPr>
          <w:rFonts w:ascii="Arial" w:hAnsi="Arial"/>
          <w:sz w:val="24"/>
          <w:lang w:val="en-US"/>
        </w:rPr>
        <w:t>.</w:t>
      </w:r>
      <w:r w:rsidR="00710013">
        <w:rPr>
          <w:rFonts w:ascii="Arial" w:hAnsi="Arial" w:hint="eastAsia"/>
          <w:sz w:val="24"/>
          <w:lang w:val="en-US" w:eastAsia="ko-KR"/>
        </w:rPr>
        <w:t>2</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790811A"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710013">
        <w:rPr>
          <w:rFonts w:ascii="Arial" w:hAnsi="Arial" w:hint="eastAsia"/>
          <w:sz w:val="24"/>
          <w:lang w:eastAsia="ko-KR"/>
        </w:rPr>
        <w:t>frame structure</w:t>
      </w:r>
      <w:r w:rsidR="00C51CF0">
        <w:rPr>
          <w:rFonts w:ascii="Arial" w:hAnsi="Arial" w:hint="eastAsia"/>
          <w:sz w:val="24"/>
          <w:lang w:eastAsia="ko-KR"/>
        </w:rPr>
        <w:t xml:space="preserve"> for 6GR</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77C9401A" w14:textId="77777777" w:rsidR="00925C4F" w:rsidRPr="00925C4F" w:rsidRDefault="00925C4F" w:rsidP="00925C4F">
      <w:pPr>
        <w:rPr>
          <w:rFonts w:cs="Arial"/>
          <w:szCs w:val="28"/>
          <w:lang w:eastAsia="ko-KR"/>
        </w:rPr>
      </w:pPr>
      <w:r w:rsidRPr="00925C4F">
        <w:rPr>
          <w:rFonts w:cs="Arial"/>
          <w:szCs w:val="28"/>
          <w:lang w:eastAsia="ko-KR"/>
        </w:rPr>
        <w:t>At the RAN#108 meeting, the “New SID: Study on 6G Radio” was approved [1]. In the context of 6G system development, it is necessary to revisit the design of frame structure at the physical layer. Frame structure plays a critical role in organizing time and frequency resources, directly influencing how efficiently the system can support the diverse service types and requirements envisioned for 6G.</w:t>
      </w:r>
    </w:p>
    <w:p w14:paraId="5153DC9A" w14:textId="29B881BC" w:rsidR="00925C4F" w:rsidRPr="00925C4F" w:rsidRDefault="00925C4F" w:rsidP="00925C4F">
      <w:pPr>
        <w:rPr>
          <w:rFonts w:cs="Arial"/>
          <w:szCs w:val="28"/>
          <w:lang w:eastAsia="ko-KR"/>
        </w:rPr>
      </w:pPr>
      <w:r w:rsidRPr="00925C4F">
        <w:rPr>
          <w:rFonts w:cs="Arial"/>
          <w:szCs w:val="28"/>
          <w:lang w:eastAsia="ko-KR"/>
        </w:rPr>
        <w:t xml:space="preserve">These requirements include support for flexible duplexing, extreme mobility in NTN environments, integrated sensing and communication (ISAC), and coexistence of multiple types of user equipment (UE), ranging from legacy devices to AI-native </w:t>
      </w:r>
      <w:r>
        <w:rPr>
          <w:rFonts w:cs="Arial" w:hint="eastAsia"/>
          <w:szCs w:val="28"/>
          <w:lang w:eastAsia="ko-KR"/>
        </w:rPr>
        <w:t>devices</w:t>
      </w:r>
      <w:r w:rsidRPr="00925C4F">
        <w:rPr>
          <w:rFonts w:cs="Arial"/>
          <w:szCs w:val="28"/>
          <w:lang w:eastAsia="ko-KR"/>
        </w:rPr>
        <w:t>. Additionally, new operational paradigms such as multi-TRP transmission, TN/NTN integration, and energy-efficient scheduling demand a more adaptable and scalable frame structure.</w:t>
      </w:r>
    </w:p>
    <w:p w14:paraId="336E21EF" w14:textId="37A0A38D" w:rsidR="004E7CA1" w:rsidRDefault="00925C4F" w:rsidP="00925C4F">
      <w:pPr>
        <w:rPr>
          <w:rFonts w:cs="Arial"/>
          <w:szCs w:val="28"/>
          <w:lang w:eastAsia="ko-KR"/>
        </w:rPr>
      </w:pPr>
      <w:r w:rsidRPr="00925C4F">
        <w:rPr>
          <w:rFonts w:cs="Arial"/>
          <w:szCs w:val="28"/>
          <w:lang w:eastAsia="ko-KR"/>
        </w:rPr>
        <w:t>To address these challenges, the frame structure in 6G must evolve to be more flexible, forward-compatible, and optimized for a wide range of deployment scenarios. Based on these considerations, this document presents key design aspects and proposals for the frame structure in 6G Radio (6GR).</w:t>
      </w:r>
    </w:p>
    <w:p w14:paraId="5E8492C7" w14:textId="77777777" w:rsidR="008C69B3" w:rsidRDefault="008C69B3" w:rsidP="000A67CA">
      <w:pPr>
        <w:rPr>
          <w:lang w:eastAsia="ko-KR"/>
        </w:rPr>
      </w:pPr>
    </w:p>
    <w:p w14:paraId="2A581C6D" w14:textId="77777777" w:rsidR="00925C4F" w:rsidRDefault="00925C4F" w:rsidP="000A67CA">
      <w:pPr>
        <w:rPr>
          <w:lang w:eastAsia="ko-KR"/>
        </w:rPr>
      </w:pPr>
    </w:p>
    <w:p w14:paraId="2A18F3F2" w14:textId="0017C6D4" w:rsidR="00124837" w:rsidRDefault="0036441B" w:rsidP="00124837">
      <w:pPr>
        <w:pStyle w:val="1"/>
      </w:pPr>
      <w:bookmarkStart w:id="4" w:name="_Hlk193717573"/>
      <w:r>
        <w:rPr>
          <w:rFonts w:hint="eastAsia"/>
        </w:rPr>
        <w:t>Discussion</w:t>
      </w:r>
    </w:p>
    <w:p w14:paraId="697D1FC0" w14:textId="1A9DF092" w:rsidR="00706663" w:rsidRPr="00880C0F" w:rsidRDefault="00880C0F" w:rsidP="00880C0F">
      <w:pPr>
        <w:pStyle w:val="2"/>
        <w:numPr>
          <w:ilvl w:val="0"/>
          <w:numId w:val="0"/>
        </w:numPr>
      </w:pPr>
      <w:r>
        <w:t>2.1</w:t>
      </w:r>
      <w:r>
        <w:tab/>
      </w:r>
      <w:r w:rsidR="00925C4F" w:rsidRPr="00925C4F">
        <w:t>Frame Structure Design Principles and Technical Considerations for 6GR</w:t>
      </w:r>
    </w:p>
    <w:bookmarkEnd w:id="4"/>
    <w:p w14:paraId="4F2F7338" w14:textId="77777777" w:rsidR="006833D7" w:rsidRDefault="006833D7" w:rsidP="00B72197">
      <w:pPr>
        <w:rPr>
          <w:lang w:val="en-US" w:eastAsia="ko-KR"/>
        </w:rPr>
      </w:pPr>
    </w:p>
    <w:p w14:paraId="62B0E43E" w14:textId="1CEC4451" w:rsidR="006833D7" w:rsidRPr="0029470F" w:rsidRDefault="00BD39BB" w:rsidP="0029470F">
      <w:pPr>
        <w:pStyle w:val="4"/>
        <w:numPr>
          <w:ilvl w:val="0"/>
          <w:numId w:val="0"/>
        </w:numPr>
        <w:rPr>
          <w:b/>
          <w:bCs/>
          <w:u w:val="single"/>
        </w:rPr>
      </w:pPr>
      <w:r w:rsidRPr="00BD39BB">
        <w:rPr>
          <w:b/>
          <w:bCs/>
          <w:u w:val="single"/>
        </w:rPr>
        <w:t>Frame Structure Design Considerations for 6G</w:t>
      </w:r>
      <w:r>
        <w:rPr>
          <w:rFonts w:hint="eastAsia"/>
          <w:b/>
          <w:bCs/>
          <w:u w:val="single"/>
        </w:rPr>
        <w:t>R</w:t>
      </w:r>
    </w:p>
    <w:p w14:paraId="15911A79" w14:textId="77777777" w:rsidR="00BD39BB" w:rsidRPr="00BD39BB" w:rsidRDefault="00BD39BB" w:rsidP="00BD39BB">
      <w:pPr>
        <w:rPr>
          <w:bCs/>
          <w:lang w:eastAsia="ko-KR"/>
        </w:rPr>
      </w:pPr>
      <w:r w:rsidRPr="00BD39BB">
        <w:rPr>
          <w:bCs/>
          <w:lang w:eastAsia="ko-KR"/>
        </w:rPr>
        <w:t>The design of the frame structure in 6GR should be guided by a range of technical requirements and deployment scenarios. Key considerations include support for Multi-RAT Spectrum Sharing (MRSS), Multi-TRP operation, Terrestrial and Non-Terrestrial Network (TN/NTN) integration, Integrated Sensing and Communication (ISAC), and energy efficiency for both network and UE sides.</w:t>
      </w:r>
    </w:p>
    <w:p w14:paraId="7F029400" w14:textId="77777777" w:rsidR="00BD39BB" w:rsidRPr="00BD39BB" w:rsidRDefault="00BD39BB" w:rsidP="00BD39BB">
      <w:pPr>
        <w:rPr>
          <w:bCs/>
          <w:lang w:eastAsia="ko-KR"/>
        </w:rPr>
      </w:pPr>
      <w:r w:rsidRPr="00BD39BB">
        <w:rPr>
          <w:bCs/>
          <w:lang w:eastAsia="ko-KR"/>
        </w:rPr>
        <w:t>In terms of time and frequency grid, it is recommended that 6GR maintain compatibility with 5G NR, particularly for frequencies up to 6 GHz and FR2-1. This includes reusing the structure of OFDM symbols, slot lengths, subframes, and resource blocks (RBs), which simplifies coexistence and facilitates reuse of existing infrastructure and specifications.</w:t>
      </w:r>
    </w:p>
    <w:p w14:paraId="3F1F05E8" w14:textId="6848D9F2" w:rsidR="007148F6" w:rsidRPr="007148F6" w:rsidRDefault="00BD39BB" w:rsidP="00BD39BB">
      <w:pPr>
        <w:rPr>
          <w:bCs/>
          <w:lang w:val="en-US" w:eastAsia="ko-KR"/>
        </w:rPr>
      </w:pPr>
      <w:r w:rsidRPr="00BD39BB">
        <w:rPr>
          <w:bCs/>
          <w:lang w:eastAsia="ko-KR"/>
        </w:rPr>
        <w:t>To support the diverse requirements of 6GR, the frame structure must be flexible enough to accommodate advanced features such as multi-TRP transmission timing, sensing integration, and dynamic spectrum usage across TN and NTN environments.</w:t>
      </w:r>
    </w:p>
    <w:p w14:paraId="533A1FFC" w14:textId="77777777" w:rsidR="00723307" w:rsidRDefault="00723307" w:rsidP="006833D7">
      <w:pPr>
        <w:rPr>
          <w:bCs/>
          <w:lang w:eastAsia="ko-KR"/>
        </w:rPr>
      </w:pPr>
    </w:p>
    <w:p w14:paraId="61154C6B" w14:textId="633C6F5C" w:rsidR="00723307" w:rsidRPr="00BD39BB" w:rsidRDefault="00723307" w:rsidP="00723307">
      <w:pPr>
        <w:pStyle w:val="Proposal"/>
      </w:pPr>
      <w:r w:rsidRPr="00BD39BB">
        <w:lastRenderedPageBreak/>
        <w:t>Proposal</w:t>
      </w:r>
      <w:r w:rsidR="00BD39BB" w:rsidRPr="00BD39BB">
        <w:rPr>
          <w:rFonts w:hint="eastAsia"/>
        </w:rPr>
        <w:t xml:space="preserve"> 1</w:t>
      </w:r>
      <w:r w:rsidRPr="00BD39BB">
        <w:t>:</w:t>
      </w:r>
      <w:r w:rsidRPr="00BD39BB">
        <w:rPr>
          <w:rFonts w:hint="eastAsia"/>
        </w:rPr>
        <w:t xml:space="preserve"> </w:t>
      </w:r>
      <w:r w:rsidR="00BD39BB" w:rsidRPr="00BD39BB">
        <w:t>For 6GR, requirements such as MRSS, Multi-TRP operation, TN/NTN integration, ISAC, and energy efficiency should be considered in frame structure design.</w:t>
      </w:r>
    </w:p>
    <w:p w14:paraId="4A2072AF" w14:textId="7F55DE02" w:rsidR="00723307" w:rsidRPr="008454D6" w:rsidRDefault="00723307" w:rsidP="00723307">
      <w:pPr>
        <w:pStyle w:val="Proposal"/>
      </w:pPr>
      <w:r w:rsidRPr="00BD39BB">
        <w:t>Proposal</w:t>
      </w:r>
      <w:r w:rsidR="00BD39BB" w:rsidRPr="00BD39BB">
        <w:rPr>
          <w:rFonts w:hint="eastAsia"/>
        </w:rPr>
        <w:t xml:space="preserve"> 2</w:t>
      </w:r>
      <w:r w:rsidRPr="00BD39BB">
        <w:t>:</w:t>
      </w:r>
      <w:r w:rsidRPr="00BD39BB">
        <w:rPr>
          <w:rFonts w:hint="eastAsia"/>
        </w:rPr>
        <w:t xml:space="preserve"> </w:t>
      </w:r>
      <w:r w:rsidR="00BD39BB" w:rsidRPr="00BD39BB">
        <w:rPr>
          <w:lang w:val="en-GB"/>
        </w:rPr>
        <w:t>The time grid (i.e., OFDM symbol, slot length, subframe) and frequency grid (i.e., RB) should be aligned with those used in 5G NR, at least for frequencies up to 6 GHz and FR2-1.</w:t>
      </w:r>
    </w:p>
    <w:p w14:paraId="59DC929E" w14:textId="77777777" w:rsidR="00723307" w:rsidRPr="00723307" w:rsidRDefault="00723307" w:rsidP="00723307">
      <w:pPr>
        <w:rPr>
          <w:lang w:val="en-US" w:eastAsia="ko-KR"/>
        </w:rPr>
      </w:pPr>
    </w:p>
    <w:p w14:paraId="4962B05B" w14:textId="77777777" w:rsidR="00723307" w:rsidRDefault="00723307" w:rsidP="00B72197">
      <w:pPr>
        <w:rPr>
          <w:lang w:val="en-US" w:eastAsia="ko-KR"/>
        </w:rPr>
      </w:pPr>
    </w:p>
    <w:p w14:paraId="67C7931B" w14:textId="4B15DE35" w:rsidR="001B2957" w:rsidRPr="0029470F" w:rsidRDefault="007D3ED7" w:rsidP="001B2957">
      <w:pPr>
        <w:pStyle w:val="4"/>
        <w:numPr>
          <w:ilvl w:val="0"/>
          <w:numId w:val="0"/>
        </w:numPr>
        <w:rPr>
          <w:b/>
          <w:bCs/>
          <w:u w:val="single"/>
        </w:rPr>
      </w:pPr>
      <w:r>
        <w:rPr>
          <w:rFonts w:hint="eastAsia"/>
          <w:b/>
          <w:bCs/>
          <w:u w:val="single"/>
        </w:rPr>
        <w:t xml:space="preserve">Minimum and Maximum </w:t>
      </w:r>
      <w:r w:rsidR="001B2957" w:rsidRPr="0029470F">
        <w:rPr>
          <w:rFonts w:hint="eastAsia"/>
          <w:b/>
          <w:bCs/>
          <w:u w:val="single"/>
        </w:rPr>
        <w:t>C</w:t>
      </w:r>
      <w:r w:rsidR="001B2957" w:rsidRPr="0029470F">
        <w:rPr>
          <w:b/>
          <w:bCs/>
          <w:u w:val="single"/>
        </w:rPr>
        <w:t xml:space="preserve">hannel </w:t>
      </w:r>
      <w:r w:rsidR="001B2957" w:rsidRPr="0029470F">
        <w:rPr>
          <w:rFonts w:hint="eastAsia"/>
          <w:b/>
          <w:bCs/>
          <w:u w:val="single"/>
        </w:rPr>
        <w:t>b</w:t>
      </w:r>
      <w:r w:rsidR="001B2957" w:rsidRPr="0029470F">
        <w:rPr>
          <w:b/>
          <w:bCs/>
          <w:u w:val="single"/>
        </w:rPr>
        <w:t>andwidth</w:t>
      </w:r>
      <w:r>
        <w:rPr>
          <w:rFonts w:hint="eastAsia"/>
          <w:b/>
          <w:bCs/>
          <w:u w:val="single"/>
        </w:rPr>
        <w:t xml:space="preserve"> Consideration </w:t>
      </w:r>
      <w:r w:rsidR="009407B1">
        <w:rPr>
          <w:rFonts w:hint="eastAsia"/>
          <w:b/>
          <w:bCs/>
          <w:u w:val="single"/>
        </w:rPr>
        <w:t>in 6GR</w:t>
      </w:r>
    </w:p>
    <w:p w14:paraId="26F4B8A7" w14:textId="17A2A58C" w:rsidR="009407B1" w:rsidRPr="009407B1" w:rsidRDefault="009407B1" w:rsidP="009407B1">
      <w:pPr>
        <w:rPr>
          <w:bCs/>
          <w:lang w:eastAsia="ko-KR"/>
        </w:rPr>
      </w:pPr>
      <w:r w:rsidRPr="009407B1">
        <w:rPr>
          <w:bCs/>
          <w:lang w:eastAsia="ko-KR"/>
        </w:rPr>
        <w:t xml:space="preserve">The minimum channel bandwidth that a device must support has a significant impact on system design, particularly in the </w:t>
      </w:r>
      <w:r>
        <w:rPr>
          <w:rFonts w:hint="eastAsia"/>
          <w:bCs/>
          <w:lang w:eastAsia="ko-KR"/>
        </w:rPr>
        <w:t>design</w:t>
      </w:r>
      <w:r w:rsidRPr="009407B1">
        <w:rPr>
          <w:bCs/>
          <w:lang w:eastAsia="ko-KR"/>
        </w:rPr>
        <w:t xml:space="preserve"> of synchronization signals and PBCH. In LTE, the system was designed assuming a minimum bandwidth of 1.4 MHz (15 kHz SCS, 6 RBs). In 5G NR, the design assumed 5 MHz (15 kHz SCS, 24 RBs with 20 active RBs) or 10 MHz (30 kHz SCS, 24 RBs with 20 active RBs) in FR1. The network then signals the supported bandwidth, and the device operates accordingly.</w:t>
      </w:r>
    </w:p>
    <w:p w14:paraId="1D08D3FA" w14:textId="292EDDF7" w:rsidR="009407B1" w:rsidRPr="009407B1" w:rsidRDefault="009407B1" w:rsidP="009407B1">
      <w:pPr>
        <w:rPr>
          <w:bCs/>
          <w:lang w:eastAsia="ko-KR"/>
        </w:rPr>
      </w:pPr>
      <w:r w:rsidRPr="009407B1">
        <w:rPr>
          <w:bCs/>
          <w:lang w:eastAsia="ko-KR"/>
        </w:rPr>
        <w:t xml:space="preserve">In LTE, the narrow bandwidth required for PSS/SSS/PBCH allowed certain MTC-type devices to operate using legacy synchronization signals. In contrast, 5G NR’s SS/PBCH was designed assuming a minimum of 5 MHz bandwidth, and support for limited bandwidth scenarios—such as </w:t>
      </w:r>
      <w:proofErr w:type="spellStart"/>
      <w:r w:rsidRPr="009407B1">
        <w:rPr>
          <w:bCs/>
          <w:lang w:eastAsia="ko-KR"/>
        </w:rPr>
        <w:t>RedCap</w:t>
      </w:r>
      <w:proofErr w:type="spellEnd"/>
      <w:r w:rsidRPr="009407B1">
        <w:rPr>
          <w:bCs/>
          <w:lang w:eastAsia="ko-KR"/>
        </w:rPr>
        <w:t xml:space="preserve"> UEs—was not included in early releases. Later, evaluations were conducted to confirm whether SS/PBCH could be reliably received in narrower bandwidths, and additional signalling mechanisms were introduced to support such cases.</w:t>
      </w:r>
    </w:p>
    <w:p w14:paraId="42C3180A" w14:textId="01CD49A6" w:rsidR="009407B1" w:rsidRDefault="009407B1" w:rsidP="009407B1">
      <w:pPr>
        <w:rPr>
          <w:bCs/>
          <w:lang w:eastAsia="ko-KR"/>
        </w:rPr>
      </w:pPr>
      <w:r w:rsidRPr="009407B1">
        <w:rPr>
          <w:bCs/>
          <w:lang w:eastAsia="ko-KR"/>
        </w:rPr>
        <w:t>For 6GR, support is expected not only for high-quality multimedia services but also for IoT applications. Therefore, it is important to consider from Day-1 whether to support devices such as LPWA operating in narrow bandwidths. A minimum bandwidth of 3 MHz</w:t>
      </w:r>
      <w:r w:rsidR="00601A68">
        <w:rPr>
          <w:rFonts w:hint="eastAsia"/>
          <w:bCs/>
          <w:lang w:eastAsia="ko-KR"/>
        </w:rPr>
        <w:t xml:space="preserve"> or 5MHz</w:t>
      </w:r>
      <w:r w:rsidRPr="009407B1">
        <w:rPr>
          <w:bCs/>
          <w:lang w:eastAsia="ko-KR"/>
        </w:rPr>
        <w:t xml:space="preserve"> may be a reasonable target for such devices, balancing system complexity and service diversity.</w:t>
      </w:r>
    </w:p>
    <w:p w14:paraId="2F7F987F" w14:textId="77777777" w:rsidR="001B2957" w:rsidRDefault="001B2957" w:rsidP="001B2957">
      <w:pPr>
        <w:rPr>
          <w:b/>
          <w:lang w:eastAsia="ko-KR"/>
        </w:rPr>
      </w:pPr>
    </w:p>
    <w:p w14:paraId="09DDF8A8" w14:textId="23AB5BA6" w:rsidR="001B2957" w:rsidRPr="0010411E" w:rsidRDefault="001B2957" w:rsidP="009407B1">
      <w:pPr>
        <w:pStyle w:val="Proposal"/>
        <w:rPr>
          <w:bCs w:val="0"/>
        </w:rPr>
      </w:pPr>
      <w:r w:rsidRPr="009407B1">
        <w:t xml:space="preserve">Proposal </w:t>
      </w:r>
      <w:r w:rsidRPr="009407B1">
        <w:rPr>
          <w:rFonts w:hint="eastAsia"/>
        </w:rPr>
        <w:t>3</w:t>
      </w:r>
      <w:r w:rsidRPr="009407B1">
        <w:t>:</w:t>
      </w:r>
      <w:r w:rsidRPr="009407B1">
        <w:rPr>
          <w:rFonts w:hint="eastAsia"/>
        </w:rPr>
        <w:t xml:space="preserve"> </w:t>
      </w:r>
      <w:r w:rsidR="009407B1" w:rsidRPr="009407B1">
        <w:t xml:space="preserve">Carrier bandwidth configurations in 6GR should consider </w:t>
      </w:r>
      <w:r w:rsidR="009407B1" w:rsidRPr="009407B1">
        <w:rPr>
          <w:rFonts w:hint="eastAsia"/>
        </w:rPr>
        <w:t>not only</w:t>
      </w:r>
      <w:r w:rsidR="009407B1" w:rsidRPr="009407B1">
        <w:t xml:space="preserve"> wideband support for </w:t>
      </w:r>
      <w:proofErr w:type="spellStart"/>
      <w:r w:rsidR="009407B1" w:rsidRPr="009407B1">
        <w:t>eMBB</w:t>
      </w:r>
      <w:proofErr w:type="spellEnd"/>
      <w:r w:rsidR="009407B1" w:rsidRPr="009407B1">
        <w:rPr>
          <w:rFonts w:hint="eastAsia"/>
        </w:rPr>
        <w:t>,</w:t>
      </w:r>
      <w:r w:rsidR="009407B1" w:rsidRPr="009407B1">
        <w:t xml:space="preserve"> </w:t>
      </w:r>
      <w:r w:rsidR="009407B1" w:rsidRPr="009407B1">
        <w:rPr>
          <w:rFonts w:hint="eastAsia"/>
        </w:rPr>
        <w:t>but also</w:t>
      </w:r>
      <w:r w:rsidR="009407B1" w:rsidRPr="009407B1">
        <w:t xml:space="preserve"> narrowband operation (e.g., 3 MHz</w:t>
      </w:r>
      <w:r w:rsidR="00601A68">
        <w:rPr>
          <w:rFonts w:hint="eastAsia"/>
        </w:rPr>
        <w:t>, 5MHz</w:t>
      </w:r>
      <w:r w:rsidR="009407B1" w:rsidRPr="009407B1">
        <w:t>) for LPWA use cases from Day-1.</w:t>
      </w:r>
    </w:p>
    <w:p w14:paraId="2EC4ACA8" w14:textId="77777777" w:rsidR="00723307" w:rsidRDefault="00723307" w:rsidP="00B72197">
      <w:pPr>
        <w:rPr>
          <w:lang w:val="en-US" w:eastAsia="ko-KR"/>
        </w:rPr>
      </w:pPr>
    </w:p>
    <w:p w14:paraId="6214C07C" w14:textId="77777777" w:rsidR="009407B1" w:rsidRDefault="009407B1" w:rsidP="00B72197">
      <w:pPr>
        <w:rPr>
          <w:lang w:val="en-US" w:eastAsia="ko-KR"/>
        </w:rPr>
      </w:pPr>
    </w:p>
    <w:p w14:paraId="16FFB0D9" w14:textId="072287D6" w:rsidR="006833D7" w:rsidRPr="0029470F" w:rsidRDefault="006833D7" w:rsidP="0029470F">
      <w:pPr>
        <w:pStyle w:val="4"/>
        <w:numPr>
          <w:ilvl w:val="0"/>
          <w:numId w:val="0"/>
        </w:numPr>
        <w:rPr>
          <w:b/>
          <w:bCs/>
          <w:u w:val="single"/>
        </w:rPr>
      </w:pPr>
      <w:r w:rsidRPr="0029470F">
        <w:rPr>
          <w:rFonts w:hint="eastAsia"/>
          <w:b/>
          <w:bCs/>
          <w:u w:val="single"/>
        </w:rPr>
        <w:t>Subcarrier Spacing</w:t>
      </w:r>
      <w:r w:rsidR="00204CD8">
        <w:rPr>
          <w:rFonts w:hint="eastAsia"/>
          <w:b/>
          <w:bCs/>
          <w:u w:val="single"/>
        </w:rPr>
        <w:t xml:space="preserve"> Consideration</w:t>
      </w:r>
    </w:p>
    <w:p w14:paraId="61314739" w14:textId="77777777" w:rsidR="00FB1F6A" w:rsidRPr="00FB1F6A" w:rsidRDefault="00FB1F6A" w:rsidP="00FB1F6A">
      <w:pPr>
        <w:rPr>
          <w:bCs/>
          <w:lang w:eastAsia="ko-KR"/>
        </w:rPr>
      </w:pPr>
      <w:r w:rsidRPr="00FB1F6A">
        <w:rPr>
          <w:bCs/>
          <w:lang w:eastAsia="ko-KR"/>
        </w:rPr>
        <w:t>From LTE/LTE-A to 5G NR, OFDM-based waveforms have been adopted as the foundation of physical layer design. One of the most critical decisions in OFDM system design is the selection of subcarrier spacing (SCS), which directly impacts system robustness against phase noise, frequency offset, and Doppler shift—especially across different frequency bands.</w:t>
      </w:r>
    </w:p>
    <w:p w14:paraId="48B2A157" w14:textId="77777777" w:rsidR="00FB1F6A" w:rsidRPr="00FB1F6A" w:rsidRDefault="00FB1F6A" w:rsidP="00FB1F6A">
      <w:pPr>
        <w:rPr>
          <w:bCs/>
          <w:lang w:eastAsia="ko-KR"/>
        </w:rPr>
      </w:pPr>
      <w:r w:rsidRPr="00FB1F6A">
        <w:rPr>
          <w:bCs/>
          <w:lang w:eastAsia="ko-KR"/>
        </w:rPr>
        <w:t>In LTE, a fixed SCS of 15 kHz was used. 5G NR introduced multiple SCS options—15, 30, 60, and 120 kHz—with additional values such as 240 kHz used for specific purposes like SS/PBCH. NR also enabled flexible SCS configurations per carrier through Bandwidth Parts (BWP), allowing different numerologies to coexist within a single carrier. However, this flexibility introduced significant complexity in system design and implementation.</w:t>
      </w:r>
    </w:p>
    <w:p w14:paraId="6229267E" w14:textId="5CD6C9C3" w:rsidR="00FB1F6A" w:rsidRPr="00FB1F6A" w:rsidRDefault="00FB1F6A" w:rsidP="00FB1F6A">
      <w:pPr>
        <w:rPr>
          <w:bCs/>
          <w:lang w:eastAsia="ko-KR"/>
        </w:rPr>
      </w:pPr>
      <w:r w:rsidRPr="00FB1F6A">
        <w:rPr>
          <w:bCs/>
          <w:lang w:eastAsia="ko-KR"/>
        </w:rPr>
        <w:t xml:space="preserve">In particular, using different SCS values between SS/PBCH and BWP can lead to challenges in maintaining accurate time and frequency synchronization. In practice, most deployed systems tend to operate with a single numerology per carrier, </w:t>
      </w:r>
      <w:r w:rsidR="00614AC3" w:rsidRPr="00FB1F6A">
        <w:rPr>
          <w:bCs/>
          <w:lang w:eastAsia="ko-KR"/>
        </w:rPr>
        <w:t>favouring</w:t>
      </w:r>
      <w:r w:rsidRPr="00FB1F6A">
        <w:rPr>
          <w:bCs/>
          <w:lang w:eastAsia="ko-KR"/>
        </w:rPr>
        <w:t xml:space="preserve"> simplicity and reliability.</w:t>
      </w:r>
    </w:p>
    <w:p w14:paraId="7E1120EC" w14:textId="71612580" w:rsidR="00FB1F6A" w:rsidRPr="00FB1F6A" w:rsidRDefault="00FB1F6A" w:rsidP="00FB1F6A">
      <w:pPr>
        <w:rPr>
          <w:bCs/>
          <w:lang w:eastAsia="ko-KR"/>
        </w:rPr>
      </w:pPr>
      <w:r w:rsidRPr="00FB1F6A">
        <w:rPr>
          <w:bCs/>
          <w:lang w:eastAsia="ko-KR"/>
        </w:rPr>
        <w:t>For 6GR, it is recommended to adopt a single SCS per carrier/band/frequency range to reduce implementation complexity and improve synchronization accuracy. The proposed SCS configuration for 6GR is as follows:</w:t>
      </w:r>
    </w:p>
    <w:p w14:paraId="26C2D30B" w14:textId="77777777" w:rsidR="00FB1F6A" w:rsidRPr="00FB1F6A" w:rsidRDefault="00FB1F6A" w:rsidP="00FB1F6A">
      <w:pPr>
        <w:pStyle w:val="ac"/>
        <w:numPr>
          <w:ilvl w:val="0"/>
          <w:numId w:val="72"/>
        </w:numPr>
        <w:ind w:leftChars="0"/>
        <w:rPr>
          <w:bCs/>
          <w:lang w:eastAsia="ko-KR"/>
        </w:rPr>
      </w:pPr>
      <w:r w:rsidRPr="00FB1F6A">
        <w:rPr>
          <w:bCs/>
          <w:lang w:eastAsia="ko-KR"/>
        </w:rPr>
        <w:t>15 kHz for frequencies up to 3 GHz: Ensures coexistence with LTE and NR.</w:t>
      </w:r>
    </w:p>
    <w:p w14:paraId="1B271A40" w14:textId="77777777" w:rsidR="00FB1F6A" w:rsidRPr="00FB1F6A" w:rsidRDefault="00FB1F6A" w:rsidP="00FB1F6A">
      <w:pPr>
        <w:pStyle w:val="ac"/>
        <w:numPr>
          <w:ilvl w:val="0"/>
          <w:numId w:val="72"/>
        </w:numPr>
        <w:ind w:leftChars="0"/>
        <w:rPr>
          <w:bCs/>
          <w:lang w:eastAsia="ko-KR"/>
        </w:rPr>
      </w:pPr>
      <w:r w:rsidRPr="00FB1F6A">
        <w:rPr>
          <w:bCs/>
          <w:lang w:eastAsia="ko-KR"/>
        </w:rPr>
        <w:t>30 kHz for 3–6 (or up to 7) GHz: Supports coexistence with NR.</w:t>
      </w:r>
    </w:p>
    <w:p w14:paraId="4626C724" w14:textId="77777777" w:rsidR="00FB1F6A" w:rsidRPr="00FB1F6A" w:rsidRDefault="00FB1F6A" w:rsidP="00FB1F6A">
      <w:pPr>
        <w:pStyle w:val="ac"/>
        <w:numPr>
          <w:ilvl w:val="0"/>
          <w:numId w:val="72"/>
        </w:numPr>
        <w:ind w:leftChars="0"/>
        <w:rPr>
          <w:bCs/>
          <w:lang w:eastAsia="ko-KR"/>
        </w:rPr>
      </w:pPr>
      <w:r w:rsidRPr="00FB1F6A">
        <w:rPr>
          <w:bCs/>
          <w:lang w:eastAsia="ko-KR"/>
        </w:rPr>
        <w:t>60 kHz for 6–28 GHz: Optimized for greenfield deployments and improved phase noise tolerance.</w:t>
      </w:r>
    </w:p>
    <w:p w14:paraId="58B28B44" w14:textId="77777777" w:rsidR="00FB1F6A" w:rsidRPr="00FB1F6A" w:rsidRDefault="00FB1F6A" w:rsidP="00FB1F6A">
      <w:pPr>
        <w:pStyle w:val="ac"/>
        <w:numPr>
          <w:ilvl w:val="0"/>
          <w:numId w:val="72"/>
        </w:numPr>
        <w:ind w:leftChars="0"/>
        <w:rPr>
          <w:bCs/>
          <w:lang w:eastAsia="ko-KR"/>
        </w:rPr>
      </w:pPr>
      <w:r w:rsidRPr="00FB1F6A">
        <w:rPr>
          <w:bCs/>
          <w:lang w:eastAsia="ko-KR"/>
        </w:rPr>
        <w:t>120 kHz for 28–52.6 GHz: Aligns with NR SSB configurations and supports coexistence.</w:t>
      </w:r>
    </w:p>
    <w:p w14:paraId="06AE973F" w14:textId="7119BF5D" w:rsidR="00FB1F6A" w:rsidRDefault="00FB1F6A" w:rsidP="00FB1F6A">
      <w:pPr>
        <w:rPr>
          <w:bCs/>
          <w:lang w:eastAsia="ko-KR"/>
        </w:rPr>
      </w:pPr>
      <w:r w:rsidRPr="00FB1F6A">
        <w:rPr>
          <w:bCs/>
          <w:lang w:eastAsia="ko-KR"/>
        </w:rPr>
        <w:lastRenderedPageBreak/>
        <w:t>This approach balances compatibility with legacy systems and the need for efficient operation in higher frequency bands.</w:t>
      </w:r>
    </w:p>
    <w:p w14:paraId="0952615B" w14:textId="77777777" w:rsidR="00FB1F6A" w:rsidRPr="00614AC3" w:rsidRDefault="00FB1F6A" w:rsidP="006833D7">
      <w:pPr>
        <w:rPr>
          <w:bCs/>
          <w:lang w:eastAsia="ko-KR"/>
        </w:rPr>
      </w:pPr>
    </w:p>
    <w:p w14:paraId="2BB3E02F" w14:textId="43ADA811" w:rsidR="00614AC3" w:rsidRPr="00614AC3" w:rsidRDefault="00614AC3" w:rsidP="00614AC3">
      <w:pPr>
        <w:rPr>
          <w:lang w:val="en-US" w:eastAsia="ko-KR"/>
        </w:rPr>
      </w:pPr>
      <w:r w:rsidRPr="00614AC3">
        <w:rPr>
          <w:lang w:val="en-US" w:eastAsia="ko-KR"/>
        </w:rPr>
        <w:t>While adopting a SCS per carrier/band/frequency range simplifies system implementation and improves synchronization accuracy, support for multiple numerologies may still be necessary to accommodate diverse use cases in 6GR.</w:t>
      </w:r>
      <w:r>
        <w:rPr>
          <w:rFonts w:hint="eastAsia"/>
          <w:lang w:val="en-US" w:eastAsia="ko-KR"/>
        </w:rPr>
        <w:t xml:space="preserve"> </w:t>
      </w:r>
      <w:r w:rsidRPr="00614AC3">
        <w:rPr>
          <w:lang w:val="en-US" w:eastAsia="ko-KR"/>
        </w:rPr>
        <w:t xml:space="preserve">Emerging applications such as NTN and ISAC may require distinct waveform characteristics and timing configurations, which can be better supported through flexible numerology options. </w:t>
      </w:r>
    </w:p>
    <w:p w14:paraId="0689A7D8" w14:textId="77777777" w:rsidR="00723307" w:rsidRPr="007E2DEB" w:rsidRDefault="00723307" w:rsidP="00723307">
      <w:pPr>
        <w:rPr>
          <w:lang w:val="en-US" w:eastAsia="ko-KR"/>
        </w:rPr>
      </w:pPr>
      <w:r w:rsidRPr="007E2DEB">
        <w:rPr>
          <w:lang w:val="en-US" w:eastAsia="ko-KR"/>
        </w:rPr>
        <w:t xml:space="preserve">Especially in NTN scenario, the Doppler shift drift and the time drift due to the satellite moving need to be considered. For instance, the time drift rate due to the satellite moving could be 24.21usec/s at the elevation angle of 10 degrees in LEO600 with regenerative payload. Before receiving the ephemeris information or the TO/FO pre-compensation values, the UE may need to perform the TO/FO estimation based on the SS/PBCH or TRS detection. Meanwhile, due to the limited EIRP at the satellite, the SS/PBCH or TRS period would be high. If the period is 160msec, the time drift including the oscillator drift (e.g., 0.1ppm) and the residual error (e.g., </w:t>
      </w:r>
      <m:oMath>
        <m:r>
          <m:rPr>
            <m:sty m:val="p"/>
          </m:rPr>
          <w:rPr>
            <w:rFonts w:ascii="Cambria Math" w:hAnsi="Cambria Math"/>
            <w:lang w:val="en-US" w:eastAsia="ko-KR"/>
          </w:rPr>
          <m:t>12∙</m:t>
        </m:r>
        <m:sSub>
          <m:sSubPr>
            <m:ctrlPr>
              <w:rPr>
                <w:rFonts w:ascii="Cambria Math" w:hAnsi="Cambria Math"/>
                <w:lang w:val="en-US" w:eastAsia="ko-KR"/>
              </w:rPr>
            </m:ctrlPr>
          </m:sSubPr>
          <m:e>
            <m:r>
              <w:rPr>
                <w:rFonts w:ascii="Cambria Math" w:hAnsi="Cambria Math"/>
                <w:lang w:val="en-US" w:eastAsia="ko-KR"/>
              </w:rPr>
              <m:t>T</m:t>
            </m:r>
          </m:e>
          <m:sub>
            <m:r>
              <w:rPr>
                <w:rFonts w:ascii="Cambria Math" w:hAnsi="Cambria Math"/>
                <w:lang w:val="en-US" w:eastAsia="ko-KR"/>
              </w:rPr>
              <m:t>s</m:t>
            </m:r>
          </m:sub>
        </m:sSub>
      </m:oMath>
      <w:r w:rsidRPr="007E2DEB">
        <w:rPr>
          <w:lang w:val="en-US" w:eastAsia="ko-KR"/>
        </w:rPr>
        <w:t xml:space="preserve">) could be 4.28usec. If the transparent payload is considered, the time drift will be further increased. To avoid the signal distortion due to the time drift, the CP length needs to be larger than the twice of the time drift. On the other hand, after the ephemeris information or the relevant TO/FO pre-compensation values are available, the residual TO/FO would less than 1usec. In this case, the extended CP would not be needed. In short, in NTN scenario, it could be useful to consider that the numerology at least for the CP length can be changed time-to-time. </w:t>
      </w:r>
    </w:p>
    <w:p w14:paraId="69F8B2E7" w14:textId="77777777" w:rsidR="00723307" w:rsidRDefault="00723307" w:rsidP="00723307">
      <w:pPr>
        <w:rPr>
          <w:lang w:val="en-US" w:eastAsia="ko-KR"/>
        </w:rPr>
      </w:pPr>
      <w:r w:rsidRPr="007E2DEB">
        <w:rPr>
          <w:lang w:val="en-US" w:eastAsia="ko-KR"/>
        </w:rPr>
        <w:t xml:space="preserve">Moreover, considering GNSS-less operation in NTN scenario, depending on the distance between the UE location and the reference location for the pre-compensation, the residual TO/FO could be high. For instance, in LEO600 with beam footprint with 50km diameter, the residual FO can be 1.05ppm even with the reference TO/FO pre-compensation based on the reference location. In this case, it could be useful to consider that the numerology including the SCS can be changed before and after the post TO/FO compensation. </w:t>
      </w:r>
    </w:p>
    <w:p w14:paraId="59854676" w14:textId="77777777" w:rsidR="00EF49DC" w:rsidRDefault="00EF49DC" w:rsidP="00EF49DC">
      <w:pPr>
        <w:rPr>
          <w:lang w:val="en-US" w:eastAsia="ko-KR"/>
        </w:rPr>
      </w:pPr>
    </w:p>
    <w:p w14:paraId="17F5FE1A" w14:textId="5321FA1F" w:rsidR="00EF49DC" w:rsidRPr="007148F6" w:rsidRDefault="00EF49DC" w:rsidP="00EF49DC">
      <w:pPr>
        <w:rPr>
          <w:lang w:val="en-US" w:eastAsia="ko-KR"/>
        </w:rPr>
      </w:pPr>
      <w:r w:rsidRPr="00614AC3">
        <w:rPr>
          <w:lang w:val="en-US" w:eastAsia="ko-KR"/>
        </w:rPr>
        <w:t>Therefore, while single numerology per carrier is preferred for general deployment and coexistence, configurable multiple numerologies should be considered in 6GR design to ensure support for advanced and specialized use cases.</w:t>
      </w:r>
    </w:p>
    <w:p w14:paraId="1F0055EE" w14:textId="77777777" w:rsidR="007148F6" w:rsidRPr="007E2DEB" w:rsidRDefault="007148F6" w:rsidP="00723307">
      <w:pPr>
        <w:rPr>
          <w:lang w:val="en-US" w:eastAsia="ko-KR"/>
        </w:rPr>
      </w:pPr>
    </w:p>
    <w:p w14:paraId="04F432EB" w14:textId="0815860C" w:rsidR="00723307" w:rsidRPr="007E2DEB" w:rsidRDefault="00723307" w:rsidP="001B2957">
      <w:pPr>
        <w:pStyle w:val="Proposal"/>
      </w:pPr>
      <w:r w:rsidRPr="007E2DEB">
        <w:t xml:space="preserve">Proposal </w:t>
      </w:r>
      <w:r w:rsidR="001B2957" w:rsidRPr="00EF49DC">
        <w:rPr>
          <w:rFonts w:hint="eastAsia"/>
        </w:rPr>
        <w:t>4</w:t>
      </w:r>
      <w:r w:rsidRPr="007E2DEB">
        <w:t xml:space="preserve">: </w:t>
      </w:r>
      <w:r w:rsidR="00EF49DC" w:rsidRPr="00EF49DC">
        <w:rPr>
          <w:rFonts w:hint="eastAsia"/>
        </w:rPr>
        <w:t>C</w:t>
      </w:r>
      <w:r w:rsidR="00EF49DC" w:rsidRPr="00EF49DC">
        <w:t>arefully study whether supporting single or multiple numerologies is better suited for 6GR, considering not only TN environments but also scenarios such as NTN and ISAC.</w:t>
      </w:r>
    </w:p>
    <w:p w14:paraId="27522389" w14:textId="77777777" w:rsidR="00723307" w:rsidRDefault="00723307" w:rsidP="00723307">
      <w:pPr>
        <w:rPr>
          <w:lang w:eastAsia="ko-KR"/>
        </w:rPr>
      </w:pPr>
    </w:p>
    <w:p w14:paraId="01DDE11E" w14:textId="77777777" w:rsidR="00723307" w:rsidRDefault="00723307" w:rsidP="006833D7">
      <w:pPr>
        <w:rPr>
          <w:bCs/>
          <w:lang w:eastAsia="ko-KR"/>
        </w:rPr>
      </w:pPr>
    </w:p>
    <w:p w14:paraId="5C4E9937" w14:textId="060F2DB9" w:rsidR="0036441B" w:rsidRPr="0029470F" w:rsidRDefault="00771D89" w:rsidP="0029470F">
      <w:pPr>
        <w:pStyle w:val="4"/>
        <w:numPr>
          <w:ilvl w:val="0"/>
          <w:numId w:val="0"/>
        </w:numPr>
        <w:rPr>
          <w:b/>
          <w:bCs/>
          <w:u w:val="single"/>
        </w:rPr>
      </w:pPr>
      <w:r w:rsidRPr="0029470F">
        <w:rPr>
          <w:rFonts w:hint="eastAsia"/>
          <w:b/>
          <w:bCs/>
          <w:u w:val="single"/>
        </w:rPr>
        <w:t xml:space="preserve">The </w:t>
      </w:r>
      <w:r w:rsidRPr="0029470F">
        <w:rPr>
          <w:b/>
          <w:bCs/>
          <w:u w:val="single"/>
        </w:rPr>
        <w:t>length</w:t>
      </w:r>
      <w:r w:rsidRPr="0029470F">
        <w:rPr>
          <w:rFonts w:hint="eastAsia"/>
          <w:b/>
          <w:bCs/>
          <w:u w:val="single"/>
        </w:rPr>
        <w:t xml:space="preserve"> of </w:t>
      </w:r>
      <w:r w:rsidR="0036441B" w:rsidRPr="0029470F">
        <w:rPr>
          <w:rFonts w:hint="eastAsia"/>
          <w:b/>
          <w:bCs/>
          <w:u w:val="single"/>
        </w:rPr>
        <w:t>OFDM symbol</w:t>
      </w:r>
      <w:r w:rsidRPr="0029470F">
        <w:rPr>
          <w:rFonts w:hint="eastAsia"/>
          <w:b/>
          <w:bCs/>
          <w:u w:val="single"/>
        </w:rPr>
        <w:t xml:space="preserve"> </w:t>
      </w:r>
    </w:p>
    <w:p w14:paraId="7EDD57B9" w14:textId="77777777" w:rsidR="0013558C" w:rsidRPr="0013558C" w:rsidRDefault="0013558C" w:rsidP="0013558C">
      <w:pPr>
        <w:rPr>
          <w:bCs/>
          <w:lang w:eastAsia="ko-KR"/>
        </w:rPr>
      </w:pPr>
      <w:r w:rsidRPr="0013558C">
        <w:rPr>
          <w:bCs/>
          <w:lang w:eastAsia="ko-KR"/>
        </w:rPr>
        <w:t>The length of an OFDM symbol is determined by the FFT size and the cyclic prefix (CP) length. In 4G LTE, two types of CP—Normal CP and Extended CP—were introduced. During initial access, the UE attempted to detect PSS/SSS assuming both CP lengths, which allowed it to determine the CP used by the network. However, this increased the complexity of UE detection.</w:t>
      </w:r>
    </w:p>
    <w:p w14:paraId="73A6E333" w14:textId="77777777" w:rsidR="0013558C" w:rsidRPr="0013558C" w:rsidRDefault="0013558C" w:rsidP="0013558C">
      <w:pPr>
        <w:rPr>
          <w:bCs/>
          <w:lang w:eastAsia="ko-KR"/>
        </w:rPr>
      </w:pPr>
      <w:r w:rsidRPr="0013558C">
        <w:rPr>
          <w:bCs/>
          <w:lang w:eastAsia="ko-KR"/>
        </w:rPr>
        <w:t>Although Extended CP was originally intended for large cell deployments in LTE/LTE-A, it was rarely used in actual deployments. Consequently, 5G NR adopted Normal CP as the default, with Extended CP optionally supported for 60 kHz SCS. This optional support was motivated by the need to maintain robustness against Doppler shift in high-mobility scenarios (e.g., high-speed vehicles) while also accommodating long delay spreads in wide-area coverage.</w:t>
      </w:r>
    </w:p>
    <w:p w14:paraId="646715F5" w14:textId="77777777" w:rsidR="0013558C" w:rsidRPr="0013558C" w:rsidRDefault="0013558C" w:rsidP="0013558C">
      <w:pPr>
        <w:rPr>
          <w:bCs/>
          <w:lang w:eastAsia="ko-KR"/>
        </w:rPr>
      </w:pPr>
    </w:p>
    <w:p w14:paraId="61C250B6" w14:textId="77777777" w:rsidR="0013558C" w:rsidRPr="0013558C" w:rsidRDefault="0013558C" w:rsidP="0013558C">
      <w:pPr>
        <w:rPr>
          <w:bCs/>
          <w:lang w:eastAsia="ko-KR"/>
        </w:rPr>
      </w:pPr>
      <w:r w:rsidRPr="0013558C">
        <w:rPr>
          <w:bCs/>
          <w:lang w:eastAsia="ko-KR"/>
        </w:rPr>
        <w:t xml:space="preserve">In 6G, deployment scenarios may not differ significantly from those assumed in 5G NR. Therefore, Normal CP may be sufficient in many cases. For example, in the upper midband, there is strong interest in achieving coverage similar to that of the 3.5 GHz band. This can be supported by deploying ultra-massive MIMO, which </w:t>
      </w:r>
      <w:r w:rsidRPr="0013558C">
        <w:rPr>
          <w:bCs/>
          <w:lang w:eastAsia="ko-KR"/>
        </w:rPr>
        <w:lastRenderedPageBreak/>
        <w:t>extends coverage through beamforming gain. However, this may also increase delay spread, raising the question of whether a short CP length remains adequate.</w:t>
      </w:r>
    </w:p>
    <w:p w14:paraId="769F47DB" w14:textId="77777777" w:rsidR="0013558C" w:rsidRPr="0013558C" w:rsidRDefault="0013558C" w:rsidP="0013558C">
      <w:pPr>
        <w:rPr>
          <w:bCs/>
          <w:lang w:eastAsia="ko-KR"/>
        </w:rPr>
      </w:pPr>
    </w:p>
    <w:p w14:paraId="5794926B" w14:textId="716F56B6" w:rsidR="0013558C" w:rsidRPr="0013558C" w:rsidRDefault="0013558C" w:rsidP="0013558C">
      <w:pPr>
        <w:rPr>
          <w:bCs/>
          <w:lang w:eastAsia="ko-KR"/>
        </w:rPr>
      </w:pPr>
      <w:r w:rsidRPr="0013558C">
        <w:rPr>
          <w:bCs/>
          <w:lang w:eastAsia="ko-KR"/>
        </w:rPr>
        <w:t>Moreover, cell-edge performance enhancement is a key requirement in 6G. In multi-TRP operation, even with synchronized transmission timing, large differences in propagation delay can cause signal arrival times to exceed CP duration, potentially impacting uplink timing and requiring careful consideration in CP design for 6GR.</w:t>
      </w:r>
      <w:r>
        <w:rPr>
          <w:rFonts w:hint="eastAsia"/>
          <w:bCs/>
          <w:lang w:eastAsia="ko-KR"/>
        </w:rPr>
        <w:t xml:space="preserve"> </w:t>
      </w:r>
      <w:r w:rsidR="00A23D47" w:rsidRPr="00A23D47">
        <w:rPr>
          <w:bCs/>
          <w:lang w:eastAsia="ko-KR"/>
        </w:rPr>
        <w:t>In scenarios where delay spread exceeds the CP duration, using slightly longer CPs—rather than introducing multiple timing advances (TAs)—can simplify transceiver and specification design, especially in multi-TRP operations where simultaneous transmissions may result in significantly different arrival times due to propagation delay.</w:t>
      </w:r>
    </w:p>
    <w:p w14:paraId="79C2086E" w14:textId="77777777" w:rsidR="0013558C" w:rsidRPr="0013558C" w:rsidRDefault="0013558C" w:rsidP="0013558C">
      <w:pPr>
        <w:rPr>
          <w:bCs/>
          <w:lang w:eastAsia="ko-KR"/>
        </w:rPr>
      </w:pPr>
    </w:p>
    <w:p w14:paraId="2AF2B742" w14:textId="5EB3DECB" w:rsidR="0013558C" w:rsidRDefault="0013558C" w:rsidP="0013558C">
      <w:pPr>
        <w:rPr>
          <w:bCs/>
          <w:lang w:eastAsia="ko-KR"/>
        </w:rPr>
      </w:pPr>
      <w:r w:rsidRPr="0013558C">
        <w:rPr>
          <w:bCs/>
          <w:lang w:eastAsia="ko-KR"/>
        </w:rPr>
        <w:t>While Extended CP may be inefficient, it is important to carefully evaluate whether Normal CP is sufficient. If not, the use of moderately longer CPs should be studied to ensure reliable performance without unnecessary complexity.</w:t>
      </w:r>
    </w:p>
    <w:p w14:paraId="6CF49070" w14:textId="77777777" w:rsidR="0036441B" w:rsidRDefault="0036441B" w:rsidP="0036441B">
      <w:pPr>
        <w:rPr>
          <w:bCs/>
          <w:lang w:eastAsia="ko-KR"/>
        </w:rPr>
      </w:pPr>
    </w:p>
    <w:p w14:paraId="422F1B06" w14:textId="1242AD55" w:rsidR="00771D89" w:rsidRPr="008454D6" w:rsidRDefault="00771D89" w:rsidP="00771D89">
      <w:pPr>
        <w:pStyle w:val="Proposal"/>
      </w:pPr>
      <w:r w:rsidRPr="00A23D47">
        <w:t xml:space="preserve">Proposal </w:t>
      </w:r>
      <w:r w:rsidR="001B2957" w:rsidRPr="00A23D47">
        <w:rPr>
          <w:rFonts w:hint="eastAsia"/>
        </w:rPr>
        <w:t>5</w:t>
      </w:r>
      <w:r w:rsidRPr="00A23D47">
        <w:t>:</w:t>
      </w:r>
      <w:r w:rsidR="00723307" w:rsidRPr="00A23D47">
        <w:rPr>
          <w:rFonts w:hint="eastAsia"/>
        </w:rPr>
        <w:t xml:space="preserve"> </w:t>
      </w:r>
      <w:r w:rsidR="00A23D47" w:rsidRPr="00A23D47">
        <w:rPr>
          <w:lang w:val="en-GB"/>
        </w:rPr>
        <w:t>Study to assess whether Normal CP is sufficient for 6GR, or if slightly longer CPs are needed to support extended delay spread and/or multi-TRP operation.</w:t>
      </w:r>
    </w:p>
    <w:p w14:paraId="4CD27DC0" w14:textId="77777777" w:rsidR="00771D89" w:rsidRDefault="00771D89" w:rsidP="0036441B">
      <w:pPr>
        <w:rPr>
          <w:bCs/>
          <w:lang w:eastAsia="ko-KR"/>
        </w:rPr>
      </w:pPr>
    </w:p>
    <w:p w14:paraId="0060CF01" w14:textId="77777777" w:rsidR="00771D89" w:rsidRDefault="00771D89" w:rsidP="0036441B">
      <w:pPr>
        <w:rPr>
          <w:bCs/>
          <w:lang w:eastAsia="ko-KR"/>
        </w:rPr>
      </w:pPr>
    </w:p>
    <w:p w14:paraId="7D56033B" w14:textId="63D9F920" w:rsidR="0036441B" w:rsidRPr="0029470F" w:rsidRDefault="0036441B" w:rsidP="0029470F">
      <w:pPr>
        <w:pStyle w:val="4"/>
        <w:numPr>
          <w:ilvl w:val="0"/>
          <w:numId w:val="0"/>
        </w:numPr>
        <w:rPr>
          <w:b/>
          <w:bCs/>
          <w:u w:val="single"/>
        </w:rPr>
      </w:pPr>
      <w:r w:rsidRPr="0029470F">
        <w:rPr>
          <w:rFonts w:hint="eastAsia"/>
          <w:b/>
          <w:bCs/>
          <w:u w:val="single"/>
        </w:rPr>
        <w:t>Slot, subframe</w:t>
      </w:r>
      <w:r w:rsidR="006500D0">
        <w:rPr>
          <w:rFonts w:hint="eastAsia"/>
          <w:b/>
          <w:bCs/>
          <w:u w:val="single"/>
        </w:rPr>
        <w:t xml:space="preserve"> and Multi-slot Consideration in 6GR</w:t>
      </w:r>
    </w:p>
    <w:p w14:paraId="3D40F7F5" w14:textId="78AD0BD9" w:rsidR="008933E0" w:rsidRPr="008933E0" w:rsidRDefault="008933E0" w:rsidP="008933E0">
      <w:pPr>
        <w:rPr>
          <w:bCs/>
          <w:lang w:eastAsia="ko-KR"/>
        </w:rPr>
      </w:pPr>
      <w:r w:rsidRPr="008933E0">
        <w:rPr>
          <w:bCs/>
          <w:lang w:eastAsia="ko-KR"/>
        </w:rPr>
        <w:t xml:space="preserve">In LTE, time-domain resources were structured based on a 1 </w:t>
      </w:r>
      <w:proofErr w:type="spellStart"/>
      <w:r w:rsidRPr="008933E0">
        <w:rPr>
          <w:bCs/>
          <w:lang w:eastAsia="ko-KR"/>
        </w:rPr>
        <w:t>ms</w:t>
      </w:r>
      <w:proofErr w:type="spellEnd"/>
      <w:r w:rsidRPr="008933E0">
        <w:rPr>
          <w:bCs/>
          <w:lang w:eastAsia="ko-KR"/>
        </w:rPr>
        <w:t xml:space="preserve"> subframe, consisting of two slots, each containing 7 OFDM symbols with Normal CP. The CP length was uniform across symbols, except for the first symbol in each slot, which could utilize the remaining time margin as a </w:t>
      </w:r>
      <w:r w:rsidR="006500D0">
        <w:rPr>
          <w:bCs/>
          <w:lang w:eastAsia="ko-KR"/>
        </w:rPr>
        <w:t>slightly</w:t>
      </w:r>
      <w:r w:rsidR="006500D0">
        <w:rPr>
          <w:rFonts w:hint="eastAsia"/>
          <w:bCs/>
          <w:lang w:eastAsia="ko-KR"/>
        </w:rPr>
        <w:t xml:space="preserve"> longer </w:t>
      </w:r>
      <w:r w:rsidRPr="008933E0">
        <w:rPr>
          <w:bCs/>
          <w:lang w:eastAsia="ko-KR"/>
        </w:rPr>
        <w:t>CP.</w:t>
      </w:r>
    </w:p>
    <w:p w14:paraId="30DF98A4" w14:textId="77777777" w:rsidR="008933E0" w:rsidRPr="008933E0" w:rsidRDefault="008933E0" w:rsidP="008933E0">
      <w:pPr>
        <w:rPr>
          <w:bCs/>
          <w:lang w:eastAsia="ko-KR"/>
        </w:rPr>
      </w:pPr>
      <w:r w:rsidRPr="008933E0">
        <w:rPr>
          <w:bCs/>
          <w:lang w:eastAsia="ko-KR"/>
        </w:rPr>
        <w:t xml:space="preserve">5G NR expanded this structure by defining a slot as 14 OFDM symbols with Normal CP. For 15 kHz SCS, one slot spans 1 </w:t>
      </w:r>
      <w:proofErr w:type="spellStart"/>
      <w:r w:rsidRPr="008933E0">
        <w:rPr>
          <w:bCs/>
          <w:lang w:eastAsia="ko-KR"/>
        </w:rPr>
        <w:t>ms</w:t>
      </w:r>
      <w:proofErr w:type="spellEnd"/>
      <w:r w:rsidRPr="008933E0">
        <w:rPr>
          <w:bCs/>
          <w:lang w:eastAsia="ko-KR"/>
        </w:rPr>
        <w:t xml:space="preserve">, and similar to LTE, the first symbol in each half-slot (0.5 </w:t>
      </w:r>
      <w:proofErr w:type="spellStart"/>
      <w:r w:rsidRPr="008933E0">
        <w:rPr>
          <w:bCs/>
          <w:lang w:eastAsia="ko-KR"/>
        </w:rPr>
        <w:t>ms</w:t>
      </w:r>
      <w:proofErr w:type="spellEnd"/>
      <w:r w:rsidRPr="008933E0">
        <w:rPr>
          <w:bCs/>
          <w:lang w:eastAsia="ko-KR"/>
        </w:rPr>
        <w:t xml:space="preserve">) may have a slightly longer CP. NR also introduced scalable slot durations based on subcarrier spacing, where slot length is defined as 1 </w:t>
      </w:r>
      <w:proofErr w:type="spellStart"/>
      <w:r w:rsidRPr="008933E0">
        <w:rPr>
          <w:bCs/>
          <w:lang w:eastAsia="ko-KR"/>
        </w:rPr>
        <w:t>ms</w:t>
      </w:r>
      <w:proofErr w:type="spellEnd"/>
      <w:r w:rsidRPr="008933E0">
        <w:rPr>
          <w:bCs/>
          <w:lang w:eastAsia="ko-KR"/>
        </w:rPr>
        <w:t xml:space="preserve"> / 2^μ, with μ representing the numerology index (μ = 0, 1, 2, …).</w:t>
      </w:r>
    </w:p>
    <w:p w14:paraId="5C9F059A" w14:textId="77777777" w:rsidR="008933E0" w:rsidRPr="008933E0" w:rsidRDefault="008933E0" w:rsidP="008933E0">
      <w:pPr>
        <w:rPr>
          <w:bCs/>
          <w:lang w:eastAsia="ko-KR"/>
        </w:rPr>
      </w:pPr>
      <w:r w:rsidRPr="008933E0">
        <w:rPr>
          <w:bCs/>
          <w:lang w:eastAsia="ko-KR"/>
        </w:rPr>
        <w:t>Given the high likelihood of OFDM-based waveform adoption in 6GR, maintaining compatibility with LTE/LTE-A and 5G NR is important, especially for spectrum sharing and symbol-level multiplexing. Therefore, it is recommended that 6GR inherit the slot and subframe structure of 5G NR, where a slot consists of 14 OFDM symbols and the slot duration scales with SCS.</w:t>
      </w:r>
    </w:p>
    <w:p w14:paraId="5BA6C065" w14:textId="77777777" w:rsidR="008933E0" w:rsidRPr="008933E0" w:rsidRDefault="008933E0" w:rsidP="008933E0">
      <w:pPr>
        <w:rPr>
          <w:bCs/>
          <w:lang w:eastAsia="ko-KR"/>
        </w:rPr>
      </w:pPr>
    </w:p>
    <w:p w14:paraId="272FC3F3" w14:textId="77777777" w:rsidR="008933E0" w:rsidRPr="008933E0" w:rsidRDefault="008933E0" w:rsidP="008933E0">
      <w:pPr>
        <w:rPr>
          <w:bCs/>
          <w:lang w:eastAsia="ko-KR"/>
        </w:rPr>
      </w:pPr>
      <w:r w:rsidRPr="008933E0">
        <w:rPr>
          <w:bCs/>
          <w:lang w:eastAsia="ko-KR"/>
        </w:rPr>
        <w:t>While slot-based operation is the default assumption, multi-slot operation should also be considered. In 5G NR, uplink coverage enhancement was a critical requirement, addressed in part by repetition schemes that transmit a single transport block across multiple slots. This approach enables reliable transmission over extended coverage areas.</w:t>
      </w:r>
    </w:p>
    <w:p w14:paraId="6E7D1246" w14:textId="77777777" w:rsidR="008933E0" w:rsidRDefault="008933E0" w:rsidP="008933E0">
      <w:pPr>
        <w:rPr>
          <w:bCs/>
          <w:lang w:eastAsia="ko-KR"/>
        </w:rPr>
      </w:pPr>
    </w:p>
    <w:p w14:paraId="7F13E974" w14:textId="40F792A4" w:rsidR="006500D0" w:rsidRPr="006500D0" w:rsidRDefault="006500D0" w:rsidP="006500D0">
      <w:pPr>
        <w:rPr>
          <w:bCs/>
          <w:lang w:val="en-US" w:eastAsia="ko-KR"/>
        </w:rPr>
      </w:pPr>
      <w:r w:rsidRPr="006500D0">
        <w:rPr>
          <w:bCs/>
          <w:lang w:val="en-US" w:eastAsia="ko-KR"/>
        </w:rPr>
        <w:t xml:space="preserve">While slot-based operation is the default assumption in 5G NR and likely in 6GR, multi-slot-based operation offers several advantages that </w:t>
      </w:r>
      <w:r>
        <w:rPr>
          <w:rFonts w:hint="eastAsia"/>
          <w:bCs/>
          <w:lang w:val="en-US" w:eastAsia="ko-KR"/>
        </w:rPr>
        <w:t>need</w:t>
      </w:r>
      <w:r w:rsidRPr="006500D0">
        <w:rPr>
          <w:bCs/>
          <w:lang w:val="en-US" w:eastAsia="ko-KR"/>
        </w:rPr>
        <w:t xml:space="preserve"> further investigation. In 5G NR, uplink coverage enhancement was a critical requirement, addressed through techniques such as repetition, where a single transport block is transmitted across multiple slots to improve reliability.</w:t>
      </w:r>
      <w:r w:rsidR="00524C70">
        <w:rPr>
          <w:rFonts w:hint="eastAsia"/>
          <w:bCs/>
          <w:lang w:val="en-US" w:eastAsia="ko-KR"/>
        </w:rPr>
        <w:t xml:space="preserve"> </w:t>
      </w:r>
    </w:p>
    <w:p w14:paraId="483F8DC0" w14:textId="74C16B5A" w:rsidR="006500D0" w:rsidRPr="006500D0" w:rsidRDefault="006500D0" w:rsidP="006500D0">
      <w:pPr>
        <w:rPr>
          <w:bCs/>
          <w:lang w:val="en-US" w:eastAsia="ko-KR"/>
        </w:rPr>
      </w:pPr>
      <w:r w:rsidRPr="006500D0">
        <w:rPr>
          <w:bCs/>
          <w:lang w:val="en-US" w:eastAsia="ko-KR"/>
        </w:rPr>
        <w:t>As subcarrier spacing increases, slot duration becomes shorter, which may lead to insufficient processing time for both transmission and reception. Additionally, a higher number of slots per unit time increases control signaling overhead, as more Downlink Control Information (DCI) messages are needed to allocate resources on a per-slot basis.</w:t>
      </w:r>
    </w:p>
    <w:p w14:paraId="2921975A" w14:textId="492DD9B6" w:rsidR="006500D0" w:rsidRPr="006500D0" w:rsidRDefault="006500D0" w:rsidP="006500D0">
      <w:pPr>
        <w:rPr>
          <w:bCs/>
          <w:lang w:val="en-US" w:eastAsia="ko-KR"/>
        </w:rPr>
      </w:pPr>
      <w:r w:rsidRPr="006500D0">
        <w:rPr>
          <w:bCs/>
          <w:lang w:val="en-US" w:eastAsia="ko-KR"/>
        </w:rPr>
        <w:lastRenderedPageBreak/>
        <w:t>To address these challenges, multi-slot resource allocation—where resources are assigned across multiple slots or indicated collectively—can provide sufficient processing time and reduce control overhead. This approach is particularly beneficial in high-SCS scenarios and can enhance system efficiency.</w:t>
      </w:r>
    </w:p>
    <w:p w14:paraId="1B967A5C" w14:textId="77777777" w:rsidR="006500D0" w:rsidRPr="008933E0" w:rsidRDefault="006500D0" w:rsidP="008933E0">
      <w:pPr>
        <w:rPr>
          <w:bCs/>
          <w:lang w:eastAsia="ko-KR"/>
        </w:rPr>
      </w:pPr>
    </w:p>
    <w:p w14:paraId="6D1C17C8" w14:textId="13741DD1" w:rsidR="00771D89" w:rsidRPr="008454D6" w:rsidRDefault="00771D89" w:rsidP="00771D89">
      <w:pPr>
        <w:pStyle w:val="Proposal"/>
      </w:pPr>
      <w:r w:rsidRPr="008454D6">
        <w:t xml:space="preserve">Proposal </w:t>
      </w:r>
      <w:r w:rsidR="001B2957">
        <w:rPr>
          <w:rFonts w:hint="eastAsia"/>
        </w:rPr>
        <w:t>6</w:t>
      </w:r>
      <w:r w:rsidRPr="008454D6">
        <w:t>:</w:t>
      </w:r>
      <w:r w:rsidR="00723307">
        <w:rPr>
          <w:rFonts w:hint="eastAsia"/>
        </w:rPr>
        <w:t xml:space="preserve"> </w:t>
      </w:r>
      <w:r w:rsidR="00771695" w:rsidRPr="00771695">
        <w:t>The 5G NR’s scalable slot and subframe structure should be adopted as the foundation for frame structure design in 6GR. Additionally, the benefits of multi-slot-based operation for 6GR should be studied.</w:t>
      </w:r>
    </w:p>
    <w:p w14:paraId="7A1E07BF" w14:textId="77777777" w:rsidR="00771D89" w:rsidRDefault="00771D89" w:rsidP="0036441B">
      <w:pPr>
        <w:rPr>
          <w:bCs/>
          <w:lang w:eastAsia="ko-KR"/>
        </w:rPr>
      </w:pPr>
    </w:p>
    <w:p w14:paraId="6A430077" w14:textId="77777777" w:rsidR="0036441B" w:rsidRDefault="0036441B" w:rsidP="00B72197">
      <w:pPr>
        <w:rPr>
          <w:lang w:eastAsia="ko-KR"/>
        </w:rPr>
      </w:pPr>
    </w:p>
    <w:p w14:paraId="2BEC8735" w14:textId="048865FC" w:rsidR="001B2957" w:rsidRPr="0029470F" w:rsidRDefault="001B2957" w:rsidP="001B2957">
      <w:pPr>
        <w:pStyle w:val="4"/>
        <w:numPr>
          <w:ilvl w:val="0"/>
          <w:numId w:val="0"/>
        </w:numPr>
        <w:rPr>
          <w:b/>
          <w:bCs/>
          <w:u w:val="single"/>
        </w:rPr>
      </w:pPr>
      <w:r w:rsidRPr="0029470F">
        <w:rPr>
          <w:rFonts w:hint="eastAsia"/>
          <w:b/>
          <w:bCs/>
          <w:u w:val="single"/>
        </w:rPr>
        <w:t>Bandwidth part</w:t>
      </w:r>
      <w:r w:rsidR="00CE2C25">
        <w:rPr>
          <w:rFonts w:hint="eastAsia"/>
          <w:b/>
          <w:bCs/>
          <w:u w:val="single"/>
        </w:rPr>
        <w:t xml:space="preserve"> Consideration in 6GR</w:t>
      </w:r>
    </w:p>
    <w:p w14:paraId="557F5F70" w14:textId="77777777" w:rsidR="00CE2C25" w:rsidRPr="00CE2C25" w:rsidRDefault="00CE2C25" w:rsidP="00CE2C25">
      <w:pPr>
        <w:rPr>
          <w:bCs/>
          <w:lang w:eastAsia="ko-KR"/>
        </w:rPr>
      </w:pPr>
      <w:r w:rsidRPr="00CE2C25">
        <w:rPr>
          <w:bCs/>
          <w:lang w:eastAsia="ko-KR"/>
        </w:rPr>
        <w:t xml:space="preserve">In 5G NR, the concept of Bandwidth Part (BWP) was introduced to efficiently support diverse service types—such as </w:t>
      </w:r>
      <w:proofErr w:type="spellStart"/>
      <w:r w:rsidRPr="00CE2C25">
        <w:rPr>
          <w:bCs/>
          <w:lang w:eastAsia="ko-KR"/>
        </w:rPr>
        <w:t>eMBB</w:t>
      </w:r>
      <w:proofErr w:type="spellEnd"/>
      <w:r w:rsidRPr="00CE2C25">
        <w:rPr>
          <w:bCs/>
          <w:lang w:eastAsia="ko-KR"/>
        </w:rPr>
        <w:t xml:space="preserve">, URLLC, and </w:t>
      </w:r>
      <w:proofErr w:type="spellStart"/>
      <w:r w:rsidRPr="00CE2C25">
        <w:rPr>
          <w:bCs/>
          <w:lang w:eastAsia="ko-KR"/>
        </w:rPr>
        <w:t>mMTC</w:t>
      </w:r>
      <w:proofErr w:type="spellEnd"/>
      <w:r w:rsidRPr="00CE2C25">
        <w:rPr>
          <w:bCs/>
          <w:lang w:eastAsia="ko-KR"/>
        </w:rPr>
        <w:t>—within a single RAT. By assigning appropriate frequency locations, bandwidths, and subcarrier spacings to each service type, BWP enabled flexible resource usage. However, in practice, the actual use of BWP in commercial networks remains unclear, and its configuration complexity poses challenges for effective operation.</w:t>
      </w:r>
    </w:p>
    <w:p w14:paraId="68BBDF31" w14:textId="77777777" w:rsidR="00CE2C25" w:rsidRPr="00CE2C25" w:rsidRDefault="00CE2C25" w:rsidP="00CE2C25">
      <w:pPr>
        <w:rPr>
          <w:bCs/>
          <w:lang w:eastAsia="ko-KR"/>
        </w:rPr>
      </w:pPr>
      <w:r w:rsidRPr="00CE2C25">
        <w:rPr>
          <w:bCs/>
          <w:lang w:eastAsia="ko-KR"/>
        </w:rPr>
        <w:t>In 6GR, it is necessary to study whether the BWP concept should be retained or modified to better suit future deployment scenarios. For instance, while wide bandwidths are beneficial for high data rate services and massive connectivity, narrow bandwidths are more energy-efficient and suitable for IoT applications. Supporting bandwidth adaptation based on device capability and service requirements suggests that maintaining a form of BWP may be advantageous.</w:t>
      </w:r>
    </w:p>
    <w:p w14:paraId="0A6E4D12" w14:textId="77777777" w:rsidR="00CE2C25" w:rsidRDefault="00CE2C25" w:rsidP="00CE2C25">
      <w:pPr>
        <w:rPr>
          <w:bCs/>
          <w:lang w:eastAsia="ko-KR"/>
        </w:rPr>
      </w:pPr>
    </w:p>
    <w:p w14:paraId="51CAC5A2" w14:textId="547F9FB5" w:rsidR="00CE2C25" w:rsidRPr="00CE2C25" w:rsidRDefault="00CE2C25" w:rsidP="00CE2C25">
      <w:pPr>
        <w:rPr>
          <w:bCs/>
          <w:lang w:eastAsia="ko-KR"/>
        </w:rPr>
      </w:pPr>
      <w:r w:rsidRPr="00CE2C25">
        <w:rPr>
          <w:bCs/>
          <w:lang w:eastAsia="ko-KR"/>
        </w:rPr>
        <w:t xml:space="preserve">In 5G NR, paired spectrum (FDD) allows independent configuration of UL and DL BWPs based on their respective frequency locations. However, in unpaired spectrum (TDD), it is assumed that the </w:t>
      </w:r>
      <w:proofErr w:type="spellStart"/>
      <w:r w:rsidRPr="00CE2C25">
        <w:rPr>
          <w:bCs/>
          <w:lang w:eastAsia="ko-KR"/>
        </w:rPr>
        <w:t>center</w:t>
      </w:r>
      <w:proofErr w:type="spellEnd"/>
      <w:r w:rsidRPr="00CE2C25">
        <w:rPr>
          <w:bCs/>
          <w:lang w:eastAsia="ko-KR"/>
        </w:rPr>
        <w:t xml:space="preserve"> frequencies of UL and DL BWPs are aligned. This assumption simplifies design but introduces limitations in scenarios where UL and DL frequencies differ within the same carrier.</w:t>
      </w:r>
    </w:p>
    <w:p w14:paraId="6B0CB309" w14:textId="224989FF" w:rsidR="00CE2C25" w:rsidRPr="00CE2C25" w:rsidRDefault="00CE2C25" w:rsidP="00CE2C25">
      <w:pPr>
        <w:rPr>
          <w:bCs/>
          <w:lang w:eastAsia="ko-KR"/>
        </w:rPr>
      </w:pPr>
      <w:r>
        <w:rPr>
          <w:rFonts w:hint="eastAsia"/>
          <w:bCs/>
          <w:lang w:eastAsia="ko-KR"/>
        </w:rPr>
        <w:t>In 5G NR, e</w:t>
      </w:r>
      <w:r w:rsidRPr="00CE2C25">
        <w:rPr>
          <w:bCs/>
          <w:lang w:eastAsia="ko-KR"/>
        </w:rPr>
        <w:t xml:space="preserve">merging use cases such as </w:t>
      </w:r>
      <w:proofErr w:type="spellStart"/>
      <w:r w:rsidRPr="00CE2C25">
        <w:rPr>
          <w:bCs/>
          <w:lang w:eastAsia="ko-KR"/>
        </w:rPr>
        <w:t>RedCap</w:t>
      </w:r>
      <w:proofErr w:type="spellEnd"/>
      <w:r w:rsidRPr="00CE2C25">
        <w:rPr>
          <w:bCs/>
          <w:lang w:eastAsia="ko-KR"/>
        </w:rPr>
        <w:t xml:space="preserve"> devices and Separated Band Full Duplex (SBFD) challenge this assumption. In SBFD, DL and UL </w:t>
      </w:r>
      <w:proofErr w:type="spellStart"/>
      <w:r w:rsidRPr="00CE2C25">
        <w:rPr>
          <w:bCs/>
          <w:lang w:eastAsia="ko-KR"/>
        </w:rPr>
        <w:t>subbands</w:t>
      </w:r>
      <w:proofErr w:type="spellEnd"/>
      <w:r w:rsidRPr="00CE2C25">
        <w:rPr>
          <w:bCs/>
          <w:lang w:eastAsia="ko-KR"/>
        </w:rPr>
        <w:t xml:space="preserve"> are separated within a single carrier, yet the specification still assumes aligned </w:t>
      </w:r>
      <w:proofErr w:type="spellStart"/>
      <w:r w:rsidRPr="00CE2C25">
        <w:rPr>
          <w:bCs/>
          <w:lang w:eastAsia="ko-KR"/>
        </w:rPr>
        <w:t>center</w:t>
      </w:r>
      <w:proofErr w:type="spellEnd"/>
      <w:r w:rsidRPr="00CE2C25">
        <w:rPr>
          <w:bCs/>
          <w:lang w:eastAsia="ko-KR"/>
        </w:rPr>
        <w:t xml:space="preserve"> frequencies for UL and DL BWPs. This leads to complex </w:t>
      </w:r>
      <w:proofErr w:type="spellStart"/>
      <w:r w:rsidRPr="00CE2C25">
        <w:rPr>
          <w:bCs/>
          <w:lang w:eastAsia="ko-KR"/>
        </w:rPr>
        <w:t>signaling</w:t>
      </w:r>
      <w:proofErr w:type="spellEnd"/>
      <w:r w:rsidRPr="00CE2C25">
        <w:rPr>
          <w:bCs/>
          <w:lang w:eastAsia="ko-KR"/>
        </w:rPr>
        <w:t xml:space="preserve"> and configuration requirements, which have proven difficult to implement efficiently.</w:t>
      </w:r>
    </w:p>
    <w:p w14:paraId="00FC1E9E" w14:textId="0AFE2FE2" w:rsidR="00CE2C25" w:rsidRDefault="00CE2C25" w:rsidP="00CE2C25">
      <w:pPr>
        <w:rPr>
          <w:bCs/>
          <w:lang w:eastAsia="ko-KR"/>
        </w:rPr>
      </w:pPr>
      <w:r w:rsidRPr="00CE2C25">
        <w:rPr>
          <w:bCs/>
          <w:lang w:eastAsia="ko-KR"/>
        </w:rPr>
        <w:t xml:space="preserve">In 6GR, more flexible duplexing schemes may be introduced, including carrier-wise DL/UL separation in unpaired spectrum, multi-carrier UL-DL pairing, and asymmetric frequency usage for lightweight devices. To support these scenarios effectively, it may be necessary to relax the constraint of UL/DL BWP </w:t>
      </w:r>
      <w:proofErr w:type="spellStart"/>
      <w:r w:rsidRPr="00CE2C25">
        <w:rPr>
          <w:bCs/>
          <w:lang w:eastAsia="ko-KR"/>
        </w:rPr>
        <w:t>center</w:t>
      </w:r>
      <w:proofErr w:type="spellEnd"/>
      <w:r w:rsidRPr="00CE2C25">
        <w:rPr>
          <w:bCs/>
          <w:lang w:eastAsia="ko-KR"/>
        </w:rPr>
        <w:t xml:space="preserve"> frequency alignment and develop mechanisms to flexibly indicate their respective frequency positions.</w:t>
      </w:r>
    </w:p>
    <w:p w14:paraId="49685102" w14:textId="77777777" w:rsidR="001B2957" w:rsidRDefault="001B2957" w:rsidP="001B2957">
      <w:pPr>
        <w:rPr>
          <w:bCs/>
          <w:lang w:eastAsia="ko-KR"/>
        </w:rPr>
      </w:pPr>
    </w:p>
    <w:p w14:paraId="41F8A686" w14:textId="741C31F2" w:rsidR="00723307" w:rsidRPr="00723307" w:rsidRDefault="001B2957" w:rsidP="001B2957">
      <w:pPr>
        <w:pStyle w:val="Proposal"/>
      </w:pPr>
      <w:r w:rsidRPr="00CE2C25">
        <w:t xml:space="preserve">Proposal </w:t>
      </w:r>
      <w:r w:rsidRPr="00CE2C25">
        <w:rPr>
          <w:rFonts w:hint="eastAsia"/>
        </w:rPr>
        <w:t>7</w:t>
      </w:r>
      <w:r w:rsidRPr="00CE2C25">
        <w:t>:</w:t>
      </w:r>
      <w:r w:rsidRPr="00CE2C25">
        <w:rPr>
          <w:rFonts w:hint="eastAsia"/>
        </w:rPr>
        <w:t xml:space="preserve"> </w:t>
      </w:r>
      <w:r w:rsidR="00CE2C25" w:rsidRPr="00CE2C25">
        <w:rPr>
          <w:lang w:val="en-GB"/>
        </w:rPr>
        <w:t xml:space="preserve">The BWP concept may be reused or refined in the context of 6GR, with further studies focusing on its potential enhancements. In particular, it is necessary to study whether, in unpaired spectrum scenarios, the </w:t>
      </w:r>
      <w:proofErr w:type="spellStart"/>
      <w:r w:rsidR="00CE2C25" w:rsidRPr="00CE2C25">
        <w:rPr>
          <w:lang w:val="en-GB"/>
        </w:rPr>
        <w:t>center</w:t>
      </w:r>
      <w:proofErr w:type="spellEnd"/>
      <w:r w:rsidR="00CE2C25" w:rsidRPr="00CE2C25">
        <w:rPr>
          <w:lang w:val="en-GB"/>
        </w:rPr>
        <w:t xml:space="preserve"> frequencies of DL and UL BWPs should be aligned or allowed to differ to support more flexible duplexing schemes.</w:t>
      </w:r>
    </w:p>
    <w:p w14:paraId="34A4A8CD" w14:textId="77777777" w:rsidR="001B2957" w:rsidRPr="001B2957" w:rsidRDefault="001B2957" w:rsidP="00B72197">
      <w:pPr>
        <w:rPr>
          <w:lang w:val="en-US" w:eastAsia="ko-KR"/>
        </w:rPr>
      </w:pPr>
    </w:p>
    <w:p w14:paraId="306F28B3" w14:textId="77777777" w:rsidR="0036441B" w:rsidRDefault="0036441B" w:rsidP="00B72197">
      <w:pPr>
        <w:rPr>
          <w:lang w:val="en-US" w:eastAsia="ko-KR"/>
        </w:rPr>
      </w:pPr>
    </w:p>
    <w:p w14:paraId="47D5A230" w14:textId="1B82E9D6" w:rsidR="0036441B" w:rsidRPr="00880C0F" w:rsidRDefault="0036441B" w:rsidP="0036441B">
      <w:pPr>
        <w:pStyle w:val="2"/>
        <w:numPr>
          <w:ilvl w:val="0"/>
          <w:numId w:val="0"/>
        </w:numPr>
      </w:pPr>
      <w:r>
        <w:rPr>
          <w:rFonts w:hint="eastAsia"/>
        </w:rPr>
        <w:t xml:space="preserve">2.2. </w:t>
      </w:r>
      <w:r w:rsidR="00925C4F" w:rsidRPr="00925C4F">
        <w:t>UL/DL Resource Design and Duplexing Flexibility in 6GR</w:t>
      </w:r>
    </w:p>
    <w:p w14:paraId="3D984D22" w14:textId="77777777" w:rsidR="005B0B11" w:rsidRPr="005B0B11" w:rsidRDefault="005B0B11" w:rsidP="005B0B11">
      <w:pPr>
        <w:rPr>
          <w:lang w:val="en-US" w:eastAsia="ko-KR"/>
        </w:rPr>
      </w:pPr>
      <w:r w:rsidRPr="005B0B11">
        <w:rPr>
          <w:lang w:val="en-US" w:eastAsia="ko-KR"/>
        </w:rPr>
        <w:t xml:space="preserve">In 5G NR, UL/DL resource configuration is supported to enable TDD operation. Within a period consisting of multiple slots, UL/DL resources are composed in order of DL symbols, F (Flexible) symbols, followed by UL symbols. In addition, when dynamic/flexible TDD is supported, symbols determined as F symbols by the cell-specific configuration (i.e., </w:t>
      </w:r>
      <w:r w:rsidRPr="005B0B11">
        <w:rPr>
          <w:i/>
          <w:lang w:val="en-US" w:eastAsia="ko-KR"/>
        </w:rPr>
        <w:t>TDD-UL-DL-</w:t>
      </w:r>
      <w:proofErr w:type="spellStart"/>
      <w:r w:rsidRPr="005B0B11">
        <w:rPr>
          <w:i/>
          <w:lang w:val="en-US" w:eastAsia="ko-KR"/>
        </w:rPr>
        <w:t>ConfigCommon</w:t>
      </w:r>
      <w:proofErr w:type="spellEnd"/>
      <w:r w:rsidRPr="005B0B11">
        <w:rPr>
          <w:lang w:val="en-US" w:eastAsia="ko-KR"/>
        </w:rPr>
        <w:t xml:space="preserve">) can have their UL/DL link direction further determined by the UE-specific configuration (i.e., </w:t>
      </w:r>
      <w:r w:rsidRPr="005B0B11">
        <w:rPr>
          <w:i/>
          <w:lang w:val="en-US" w:eastAsia="ko-KR"/>
        </w:rPr>
        <w:t>TDD-UL-DL-</w:t>
      </w:r>
      <w:proofErr w:type="spellStart"/>
      <w:r w:rsidRPr="005B0B11">
        <w:rPr>
          <w:i/>
          <w:lang w:val="en-US" w:eastAsia="ko-KR"/>
        </w:rPr>
        <w:t>ConfigDedicated</w:t>
      </w:r>
      <w:proofErr w:type="spellEnd"/>
      <w:r w:rsidRPr="005B0B11">
        <w:rPr>
          <w:lang w:val="en-US" w:eastAsia="ko-KR"/>
        </w:rPr>
        <w:t>) or DCI format 2_0, or be dynamically determined by scheduling.</w:t>
      </w:r>
    </w:p>
    <w:p w14:paraId="16D3F4C9" w14:textId="77777777" w:rsidR="005B0B11" w:rsidRPr="005B0B11" w:rsidRDefault="005B0B11" w:rsidP="005B0B11">
      <w:pPr>
        <w:rPr>
          <w:lang w:val="en-US" w:eastAsia="ko-KR"/>
        </w:rPr>
      </w:pPr>
      <w:r w:rsidRPr="005B0B11">
        <w:rPr>
          <w:lang w:val="en-US" w:eastAsia="ko-KR"/>
        </w:rPr>
        <w:lastRenderedPageBreak/>
        <w:t>This design was primarily intended for TDD-only operation at the time of its introduction. Later, in Rel-19, SBFD (</w:t>
      </w:r>
      <w:proofErr w:type="spellStart"/>
      <w:r w:rsidRPr="005B0B11">
        <w:rPr>
          <w:lang w:val="en-US" w:eastAsia="ko-KR"/>
        </w:rPr>
        <w:t>Subband</w:t>
      </w:r>
      <w:proofErr w:type="spellEnd"/>
      <w:r w:rsidRPr="005B0B11">
        <w:rPr>
          <w:lang w:val="en-US" w:eastAsia="ko-KR"/>
        </w:rPr>
        <w:t xml:space="preserve"> Full Duplex) operation in TDD carriers was introduced. SBFD enables semi-static configuration of DL–UL combinations in the same symbol from the </w:t>
      </w:r>
      <w:proofErr w:type="spellStart"/>
      <w:r w:rsidRPr="005B0B11">
        <w:rPr>
          <w:lang w:val="en-US" w:eastAsia="ko-KR"/>
        </w:rPr>
        <w:t>gNB</w:t>
      </w:r>
      <w:proofErr w:type="spellEnd"/>
      <w:r w:rsidRPr="005B0B11">
        <w:rPr>
          <w:lang w:val="en-US" w:eastAsia="ko-KR"/>
        </w:rPr>
        <w:t xml:space="preserve"> perspective. However, because SBFD was introduced on top of the legacy TDD-based UL/DL resource configuration, the resulting standard became more complex and imposed multiple restrictions.</w:t>
      </w:r>
    </w:p>
    <w:p w14:paraId="5C6277EB" w14:textId="1BCFDA49" w:rsidR="005B0B11" w:rsidRPr="005B0B11" w:rsidRDefault="005B0B11" w:rsidP="005B0B11">
      <w:pPr>
        <w:rPr>
          <w:lang w:val="en-US" w:eastAsia="ko-KR"/>
        </w:rPr>
      </w:pPr>
      <w:r w:rsidRPr="005B0B11">
        <w:rPr>
          <w:lang w:val="en-US" w:eastAsia="ko-KR"/>
        </w:rPr>
        <w:t>In 6G, it is expected that multiple duplexing schemes will be supported from Day-1. As proposed in our companion contribution [</w:t>
      </w:r>
      <w:r w:rsidR="00DB0EBB" w:rsidRPr="00DB0EBB">
        <w:rPr>
          <w:rFonts w:hint="eastAsia"/>
          <w:lang w:val="en-US" w:eastAsia="ko-KR"/>
        </w:rPr>
        <w:t>2</w:t>
      </w:r>
      <w:r w:rsidRPr="005B0B11">
        <w:rPr>
          <w:lang w:val="en-US" w:eastAsia="ko-KR"/>
        </w:rPr>
        <w:t>], at least FDD, TDD, and semi-static SBFD as supported in 5G should also can be supported in 6G, with the possibility of additionally considering dynamic SBFD. Furthermore, in-band full duplex (IBFD) may emerge as an evolution of duplexing schemes during the 6G timeline. To accommodate this diversity, it is beneficial to define a unified UL/DL resource configuration framework from the outset, instead of incrementally adapting a TDD-centric design as in 5G.</w:t>
      </w:r>
    </w:p>
    <w:p w14:paraId="489F555A" w14:textId="77777777" w:rsidR="005B0B11" w:rsidRPr="00925C4F" w:rsidRDefault="005B0B11" w:rsidP="005B0B11">
      <w:pPr>
        <w:rPr>
          <w:lang w:val="en-US" w:eastAsia="ko-KR"/>
        </w:rPr>
      </w:pPr>
      <w:r w:rsidRPr="005B0B11">
        <w:rPr>
          <w:lang w:val="en-US" w:eastAsia="ko-KR"/>
        </w:rPr>
        <w:t>Unlike TDD where UL and DL resources occupy different time resources, SBFD allows UL and DL resources to occupy different frequency resources within the same time resource. Therefore, the UL/DL resource configuration for 6G should allow resource configuration both in the time domain and in the frequency domain to support SBFD efficiently. Furthermore, the forward-compatible design can be studied to accommodate possible IBFD introduction.</w:t>
      </w:r>
    </w:p>
    <w:p w14:paraId="0F7E3B7E" w14:textId="77777777" w:rsidR="005B0B11" w:rsidRPr="005B0B11" w:rsidRDefault="005B0B11" w:rsidP="005B0B11">
      <w:pPr>
        <w:rPr>
          <w:lang w:val="en-US" w:eastAsia="ko-KR"/>
        </w:rPr>
      </w:pPr>
    </w:p>
    <w:p w14:paraId="1FB42165" w14:textId="62CC0750" w:rsidR="005B0B11" w:rsidRPr="005B0B11" w:rsidRDefault="005B0B11" w:rsidP="005B0B11">
      <w:pPr>
        <w:pStyle w:val="Proposal"/>
      </w:pPr>
      <w:r w:rsidRPr="005B0B11">
        <w:t xml:space="preserve">Proposal </w:t>
      </w:r>
      <w:r w:rsidRPr="00925C4F">
        <w:rPr>
          <w:rFonts w:hint="eastAsia"/>
        </w:rPr>
        <w:t>8</w:t>
      </w:r>
      <w:r w:rsidRPr="005B0B11">
        <w:t>: Study a unified UL/DL resource configuration for various duplexing schemes that can be supported in 6G, including</w:t>
      </w:r>
      <w:r w:rsidRPr="00925C4F">
        <w:rPr>
          <w:rFonts w:hint="eastAsia"/>
        </w:rPr>
        <w:t xml:space="preserve">, </w:t>
      </w:r>
      <w:r w:rsidRPr="005B0B11">
        <w:t>UL and DL resource allocation to different frequency resources within the same time resource to accommodate SBFD</w:t>
      </w:r>
      <w:r w:rsidRPr="00925C4F">
        <w:rPr>
          <w:rFonts w:hint="eastAsia"/>
        </w:rPr>
        <w:t xml:space="preserve">, and </w:t>
      </w:r>
      <w:r w:rsidRPr="005B0B11">
        <w:t>Forward-compatible design for possible IBFD support</w:t>
      </w:r>
      <w:r>
        <w:rPr>
          <w:rFonts w:hint="eastAsia"/>
        </w:rPr>
        <w:t>.</w:t>
      </w:r>
    </w:p>
    <w:p w14:paraId="5C71E3F3" w14:textId="77777777" w:rsidR="005B0B11" w:rsidRDefault="005B0B11" w:rsidP="005B0B11">
      <w:pPr>
        <w:rPr>
          <w:lang w:val="en-US" w:eastAsia="ko-KR"/>
        </w:rPr>
      </w:pPr>
    </w:p>
    <w:p w14:paraId="096C797D" w14:textId="77777777" w:rsidR="005B0B11" w:rsidRPr="005B0B11" w:rsidRDefault="005B0B11" w:rsidP="005B0B11">
      <w:pPr>
        <w:rPr>
          <w:lang w:val="en-US" w:eastAsia="ko-KR"/>
        </w:rPr>
      </w:pPr>
    </w:p>
    <w:p w14:paraId="1842CD54" w14:textId="77777777" w:rsidR="005B0B11" w:rsidRPr="005B0B11" w:rsidRDefault="005B0B11" w:rsidP="005B0B11">
      <w:pPr>
        <w:rPr>
          <w:lang w:val="en-US" w:eastAsia="ko-KR"/>
        </w:rPr>
      </w:pPr>
      <w:r w:rsidRPr="005B0B11">
        <w:rPr>
          <w:lang w:val="en-US" w:eastAsia="ko-KR"/>
        </w:rPr>
        <w:t>In 6G, in addition to DL and UL resources, flexible resources can be still necessary. These resources could be used for dynamic/flexible UL/DL resource utilization for dynamic TDD and dynamic SBFD operations.</w:t>
      </w:r>
    </w:p>
    <w:p w14:paraId="55CBC025" w14:textId="77777777" w:rsidR="005B0B11" w:rsidRDefault="005B0B11" w:rsidP="005B0B11">
      <w:pPr>
        <w:rPr>
          <w:lang w:val="en-US" w:eastAsia="ko-KR"/>
        </w:rPr>
      </w:pPr>
      <w:r w:rsidRPr="005B0B11">
        <w:rPr>
          <w:lang w:val="en-US" w:eastAsia="ko-KR"/>
        </w:rPr>
        <w:t xml:space="preserve">For TDD operation, similar to 5G NR, allocating resources in a D–F–U pattern within a UL/DL resource configuration period remains effective. This structure helps reduce frequent DL/UL switching and minimizes cross-link interference (CLI) between cells operating in the same or adjacent frequency resources. Reusing the resource </w:t>
      </w:r>
      <w:proofErr w:type="gramStart"/>
      <w:r w:rsidRPr="005B0B11">
        <w:rPr>
          <w:lang w:val="en-US" w:eastAsia="ko-KR"/>
        </w:rPr>
        <w:t>configurations</w:t>
      </w:r>
      <w:proofErr w:type="gramEnd"/>
      <w:r w:rsidRPr="005B0B11">
        <w:rPr>
          <w:lang w:val="en-US" w:eastAsia="ko-KR"/>
        </w:rPr>
        <w:t xml:space="preserve"> structure already defined in 5G can also provide important benefits when MRSS (Multi-RAT Spectrum Sharing) is deployed between 5G and 6G cells. In such scenarios, compatibility in resource patterns facilitates efficient and flexible multiplexing between 5G signals/channels and 6G signals/channels. </w:t>
      </w:r>
    </w:p>
    <w:p w14:paraId="34D82339" w14:textId="77777777" w:rsidR="005B0B11" w:rsidRPr="005B0B11" w:rsidRDefault="005B0B11" w:rsidP="005B0B11">
      <w:pPr>
        <w:rPr>
          <w:lang w:val="en-US" w:eastAsia="ko-KR"/>
        </w:rPr>
      </w:pPr>
    </w:p>
    <w:p w14:paraId="34D47476" w14:textId="01EE1599" w:rsidR="005B0B11" w:rsidRPr="005B0B11" w:rsidRDefault="005B0B11" w:rsidP="005B0B11">
      <w:pPr>
        <w:pStyle w:val="Proposal"/>
      </w:pPr>
      <w:r w:rsidRPr="005B0B11">
        <w:t xml:space="preserve">Proposal </w:t>
      </w:r>
      <w:r w:rsidRPr="005B0B11">
        <w:rPr>
          <w:rFonts w:hint="eastAsia"/>
        </w:rPr>
        <w:t>9</w:t>
      </w:r>
      <w:r w:rsidRPr="005B0B11">
        <w:t>: Support at least DL resource, UL resource and Flexible resource for 6G</w:t>
      </w:r>
      <w:r w:rsidRPr="005B0B11">
        <w:rPr>
          <w:rFonts w:hint="eastAsia"/>
        </w:rPr>
        <w:t xml:space="preserve">. In </w:t>
      </w:r>
      <w:r w:rsidRPr="005B0B11">
        <w:t>addition</w:t>
      </w:r>
      <w:r w:rsidRPr="005B0B11">
        <w:rPr>
          <w:rFonts w:hint="eastAsia"/>
        </w:rPr>
        <w:t>, s</w:t>
      </w:r>
      <w:r w:rsidRPr="005B0B11">
        <w:t>imilar to 5G NR, support placing DL resources at the front part and UL resources at the rear part of the period of UL/DL resource configuration.</w:t>
      </w:r>
    </w:p>
    <w:p w14:paraId="6C8F012D" w14:textId="77777777" w:rsidR="005B0B11" w:rsidRPr="005B0B11" w:rsidRDefault="005B0B11" w:rsidP="0010411E">
      <w:pPr>
        <w:rPr>
          <w:lang w:val="en-US" w:eastAsia="ko-KR"/>
        </w:rPr>
      </w:pPr>
    </w:p>
    <w:p w14:paraId="3E74B460" w14:textId="75E6D24C" w:rsidR="009D736A" w:rsidRPr="00B54B50" w:rsidRDefault="009D736A" w:rsidP="00D51D51">
      <w:pPr>
        <w:rPr>
          <w:lang w:val="en-US" w:eastAsia="ko-KR"/>
        </w:rPr>
      </w:pPr>
    </w:p>
    <w:p w14:paraId="15A26AAE" w14:textId="16958C17" w:rsidR="00E53809" w:rsidRPr="00880C0F" w:rsidRDefault="00880C0F" w:rsidP="00880C0F">
      <w:pPr>
        <w:pStyle w:val="2"/>
        <w:numPr>
          <w:ilvl w:val="0"/>
          <w:numId w:val="0"/>
        </w:numPr>
      </w:pPr>
      <w:bookmarkStart w:id="5" w:name="_Hlk193717595"/>
      <w:r>
        <w:t>2.</w:t>
      </w:r>
      <w:r w:rsidR="0036441B">
        <w:rPr>
          <w:rFonts w:hint="eastAsia"/>
        </w:rPr>
        <w:t>3</w:t>
      </w:r>
      <w:r>
        <w:tab/>
      </w:r>
      <w:r w:rsidR="005C1912" w:rsidRPr="005C1912">
        <w:t>Integrated Sensing and Communication (ISAC) Considerations</w:t>
      </w:r>
    </w:p>
    <w:bookmarkEnd w:id="5"/>
    <w:p w14:paraId="7FAA1A2A" w14:textId="77777777" w:rsidR="002E5FE2" w:rsidRDefault="002E5FE2" w:rsidP="002E5FE2">
      <w:pPr>
        <w:rPr>
          <w:lang w:eastAsia="ko-KR"/>
        </w:rPr>
      </w:pPr>
      <w:r w:rsidRPr="002E5FE2">
        <w:rPr>
          <w:lang w:eastAsia="ko-KR"/>
        </w:rPr>
        <w:t>Considering the propagation delay in the sensing channel can be up-to 2 times of that in the communication channel due to the reflection by an object, the inter-symbol interference issues may be more severe than the communication system. On the other hand, the maximum unambiguous object detection range is proportional to the interval between the sensing signals. A silent time gap before and/or after the sensing signals not only helps to avoid the inter-symbol interference, but also maximize the unambiguous detection range for sensing.</w:t>
      </w:r>
    </w:p>
    <w:p w14:paraId="57E5AAF2" w14:textId="77777777" w:rsidR="002E5FE2" w:rsidRPr="002E5FE2" w:rsidRDefault="002E5FE2" w:rsidP="002E5FE2">
      <w:pPr>
        <w:rPr>
          <w:lang w:eastAsia="ko-KR"/>
        </w:rPr>
      </w:pPr>
    </w:p>
    <w:p w14:paraId="3BBACCE5" w14:textId="5FBDA2F8" w:rsidR="002E5FE2" w:rsidRPr="002E5FE2" w:rsidRDefault="002E5FE2" w:rsidP="002E5FE2">
      <w:pPr>
        <w:pStyle w:val="Proposal"/>
      </w:pPr>
      <w:r w:rsidRPr="002E5FE2">
        <w:t xml:space="preserve">Proposal </w:t>
      </w:r>
      <w:r w:rsidR="00E7232F">
        <w:rPr>
          <w:rFonts w:hint="eastAsia"/>
        </w:rPr>
        <w:t>10</w:t>
      </w:r>
      <w:r w:rsidRPr="002E5FE2">
        <w:t>: Study the configuration of a silent time gap before and/or after the sensing signal in a frame structure.</w:t>
      </w:r>
    </w:p>
    <w:p w14:paraId="2F1AF5AA" w14:textId="77777777" w:rsidR="002E5FE2" w:rsidRPr="00E7232F" w:rsidRDefault="002E5FE2" w:rsidP="002E5FE2">
      <w:pPr>
        <w:rPr>
          <w:lang w:val="en-US" w:eastAsia="ko-KR"/>
        </w:rPr>
      </w:pPr>
    </w:p>
    <w:p w14:paraId="54FD53CE" w14:textId="77777777" w:rsidR="002E5FE2" w:rsidRDefault="002E5FE2" w:rsidP="002E5FE2">
      <w:pPr>
        <w:rPr>
          <w:lang w:eastAsia="ko-KR"/>
        </w:rPr>
      </w:pPr>
    </w:p>
    <w:p w14:paraId="08534EFA" w14:textId="384F4B02" w:rsidR="002E5FE2" w:rsidRPr="002E5FE2" w:rsidRDefault="002E5FE2" w:rsidP="002E5FE2">
      <w:pPr>
        <w:rPr>
          <w:lang w:eastAsia="ko-KR"/>
        </w:rPr>
      </w:pPr>
      <w:r w:rsidRPr="002E5FE2">
        <w:rPr>
          <w:lang w:eastAsia="ko-KR"/>
        </w:rPr>
        <w:t>When the communication and the sensing signal coexist in a same spectrum, it is desirable that the sensing symbols are aligned in symbol boundaries with the communication symbols. In this TDM structure, if OFDM signal is used for sensing waveform, one possible way to make a room for such silent time gap is to use a larger SCS for sensing than for communication. It reduces the effective sensing OFDM symbol duration, which can be utilized for configuring a silent time gap in the rest of a symbol duration corresponding to the smaller SCS of the communication OFDM symbol.</w:t>
      </w:r>
    </w:p>
    <w:p w14:paraId="7F0981DE" w14:textId="72F5AF60" w:rsidR="002E5FE2" w:rsidRPr="002E5FE2" w:rsidRDefault="002E5FE2" w:rsidP="002E5FE2">
      <w:pPr>
        <w:pStyle w:val="Proposal"/>
      </w:pPr>
      <w:r w:rsidRPr="002E5FE2">
        <w:t>Proposal 1</w:t>
      </w:r>
      <w:r w:rsidR="00E7232F">
        <w:rPr>
          <w:rFonts w:hint="eastAsia"/>
        </w:rPr>
        <w:t>1</w:t>
      </w:r>
      <w:r w:rsidRPr="002E5FE2">
        <w:t>: Study the use of multiple SCS of OFDM signal, when the communication and the sensing signal coexist in a same spectrum.</w:t>
      </w:r>
    </w:p>
    <w:p w14:paraId="6F07A0CD" w14:textId="77777777" w:rsidR="002E5FE2" w:rsidRPr="002E5FE2" w:rsidRDefault="002E5FE2" w:rsidP="00C51CF0">
      <w:pPr>
        <w:rPr>
          <w:lang w:val="en-US" w:eastAsia="ko-KR"/>
        </w:rPr>
      </w:pPr>
    </w:p>
    <w:p w14:paraId="205ADF55" w14:textId="77777777" w:rsidR="008B5370" w:rsidRPr="002E5FE2" w:rsidRDefault="008B5370" w:rsidP="00D51D51">
      <w:pPr>
        <w:rPr>
          <w:rFonts w:eastAsia="바탕"/>
          <w:i/>
          <w:iCs/>
          <w:lang w:val="en-US" w:eastAsia="ko-KR"/>
        </w:rPr>
      </w:pPr>
    </w:p>
    <w:p w14:paraId="38B9535B" w14:textId="77777777" w:rsidR="0017469A" w:rsidRPr="00EB3EA8" w:rsidRDefault="00E74F76" w:rsidP="0017469A">
      <w:pPr>
        <w:pStyle w:val="1"/>
      </w:pPr>
      <w:r w:rsidRPr="00EB3EA8">
        <w:t>Summary</w:t>
      </w:r>
    </w:p>
    <w:p w14:paraId="082A4B50" w14:textId="0A4E2F4C" w:rsidR="00AF46F0" w:rsidRDefault="005A7D7B" w:rsidP="00965BFD">
      <w:pPr>
        <w:rPr>
          <w:b/>
          <w:lang w:eastAsia="ko-KR"/>
        </w:rPr>
      </w:pPr>
      <w:r w:rsidRPr="005A7D7B">
        <w:rPr>
          <w:lang w:val="en-US" w:eastAsia="ko-KR"/>
        </w:rPr>
        <w:t>In this contribution, we discussed the design motivations and key considerations for the evolution of frame structure in 6GR. While maintaining backward compatibility with 5G NR remains important, the unique requirements of 6GR</w:t>
      </w:r>
      <w:r>
        <w:rPr>
          <w:rFonts w:hint="eastAsia"/>
          <w:lang w:val="en-US" w:eastAsia="ko-KR"/>
        </w:rPr>
        <w:t xml:space="preserve">- </w:t>
      </w:r>
      <w:r w:rsidRPr="005A7D7B">
        <w:rPr>
          <w:lang w:val="en-US" w:eastAsia="ko-KR"/>
        </w:rPr>
        <w:t>such as support for flexible duplex, high mobility</w:t>
      </w:r>
      <w:r>
        <w:rPr>
          <w:rFonts w:hint="eastAsia"/>
          <w:lang w:val="en-US" w:eastAsia="ko-KR"/>
        </w:rPr>
        <w:t xml:space="preserve"> in extreme environment (e.g., NTN),</w:t>
      </w:r>
      <w:r w:rsidRPr="005A7D7B">
        <w:rPr>
          <w:lang w:val="en-US" w:eastAsia="ko-KR"/>
        </w:rPr>
        <w:t xml:space="preserve"> integrated sensing</w:t>
      </w:r>
      <w:r>
        <w:rPr>
          <w:rFonts w:hint="eastAsia"/>
          <w:lang w:val="en-US" w:eastAsia="ko-KR"/>
        </w:rPr>
        <w:t xml:space="preserve">, </w:t>
      </w:r>
      <w:r w:rsidRPr="005A7D7B">
        <w:rPr>
          <w:lang w:eastAsia="ko-KR"/>
        </w:rPr>
        <w:t>and multiple types of UE</w:t>
      </w:r>
      <w:r>
        <w:rPr>
          <w:rFonts w:hint="eastAsia"/>
          <w:lang w:eastAsia="ko-KR"/>
        </w:rPr>
        <w:t xml:space="preserve"> </w:t>
      </w:r>
      <w:r>
        <w:rPr>
          <w:rFonts w:hint="eastAsia"/>
          <w:lang w:val="en-US" w:eastAsia="ko-KR"/>
        </w:rPr>
        <w:t xml:space="preserve">- </w:t>
      </w:r>
      <w:r w:rsidRPr="005A7D7B">
        <w:rPr>
          <w:lang w:val="en-US" w:eastAsia="ko-KR"/>
        </w:rPr>
        <w:t>necessitate a rethinking of frame structure design. Based on these discussions, the following proposals are made to guide the frame structure study in 6GR:</w:t>
      </w:r>
    </w:p>
    <w:p w14:paraId="1C08D01F" w14:textId="77777777" w:rsidR="00204CD8" w:rsidRDefault="00204CD8" w:rsidP="00965BFD">
      <w:pPr>
        <w:rPr>
          <w:b/>
          <w:lang w:eastAsia="ko-KR"/>
        </w:rPr>
      </w:pPr>
    </w:p>
    <w:p w14:paraId="301BF2CE" w14:textId="77777777" w:rsidR="00204CD8" w:rsidRPr="0029470F" w:rsidRDefault="00204CD8" w:rsidP="00204CD8">
      <w:pPr>
        <w:pStyle w:val="4"/>
        <w:numPr>
          <w:ilvl w:val="0"/>
          <w:numId w:val="0"/>
        </w:numPr>
        <w:rPr>
          <w:b/>
          <w:bCs/>
          <w:u w:val="single"/>
        </w:rPr>
      </w:pPr>
      <w:r w:rsidRPr="00BD39BB">
        <w:rPr>
          <w:b/>
          <w:bCs/>
          <w:u w:val="single"/>
        </w:rPr>
        <w:t>Frame Structure Design Considerations for 6G</w:t>
      </w:r>
      <w:r>
        <w:rPr>
          <w:rFonts w:hint="eastAsia"/>
          <w:b/>
          <w:bCs/>
          <w:u w:val="single"/>
        </w:rPr>
        <w:t>R</w:t>
      </w:r>
    </w:p>
    <w:p w14:paraId="396DBBD6" w14:textId="77777777" w:rsidR="00204CD8" w:rsidRPr="00BD39BB" w:rsidRDefault="00204CD8" w:rsidP="00204CD8">
      <w:pPr>
        <w:pStyle w:val="Proposal"/>
      </w:pPr>
      <w:r w:rsidRPr="00BD39BB">
        <w:t>Proposal</w:t>
      </w:r>
      <w:r w:rsidRPr="00BD39BB">
        <w:rPr>
          <w:rFonts w:hint="eastAsia"/>
        </w:rPr>
        <w:t xml:space="preserve"> 1</w:t>
      </w:r>
      <w:r w:rsidRPr="00BD39BB">
        <w:t>:</w:t>
      </w:r>
      <w:r w:rsidRPr="00BD39BB">
        <w:rPr>
          <w:rFonts w:hint="eastAsia"/>
        </w:rPr>
        <w:t xml:space="preserve"> </w:t>
      </w:r>
      <w:r w:rsidRPr="00BD39BB">
        <w:t>For 6GR, requirements such as MRSS, Multi-TRP operation, TN/NTN integration, ISAC, and energy efficiency should be considered in frame structure design.</w:t>
      </w:r>
    </w:p>
    <w:p w14:paraId="41CBD82F" w14:textId="77777777" w:rsidR="00204CD8" w:rsidRPr="008454D6" w:rsidRDefault="00204CD8" w:rsidP="00204CD8">
      <w:pPr>
        <w:pStyle w:val="Proposal"/>
      </w:pPr>
      <w:r w:rsidRPr="00BD39BB">
        <w:t>Proposal</w:t>
      </w:r>
      <w:r w:rsidRPr="00BD39BB">
        <w:rPr>
          <w:rFonts w:hint="eastAsia"/>
        </w:rPr>
        <w:t xml:space="preserve"> 2</w:t>
      </w:r>
      <w:r w:rsidRPr="00BD39BB">
        <w:t>:</w:t>
      </w:r>
      <w:r w:rsidRPr="00BD39BB">
        <w:rPr>
          <w:rFonts w:hint="eastAsia"/>
        </w:rPr>
        <w:t xml:space="preserve"> </w:t>
      </w:r>
      <w:r w:rsidRPr="00BD39BB">
        <w:rPr>
          <w:lang w:val="en-GB"/>
        </w:rPr>
        <w:t>The time grid (i.e., OFDM symbol, slot length, subframe) and frequency grid (i.e., RB) should be aligned with those used in 5G NR, at least for frequencies up to 6 GHz and FR2-1.</w:t>
      </w:r>
    </w:p>
    <w:p w14:paraId="44315BF0" w14:textId="77777777" w:rsidR="00204CD8" w:rsidRDefault="00204CD8" w:rsidP="00204CD8">
      <w:pPr>
        <w:rPr>
          <w:lang w:val="en-US" w:eastAsia="ko-KR"/>
        </w:rPr>
      </w:pPr>
    </w:p>
    <w:p w14:paraId="55185FF0" w14:textId="77777777" w:rsidR="00204CD8" w:rsidRPr="0029470F" w:rsidRDefault="00204CD8" w:rsidP="00204CD8">
      <w:pPr>
        <w:pStyle w:val="4"/>
        <w:numPr>
          <w:ilvl w:val="0"/>
          <w:numId w:val="0"/>
        </w:numPr>
        <w:rPr>
          <w:b/>
          <w:bCs/>
          <w:u w:val="single"/>
        </w:rPr>
      </w:pPr>
      <w:r>
        <w:rPr>
          <w:rFonts w:hint="eastAsia"/>
          <w:b/>
          <w:bCs/>
          <w:u w:val="single"/>
        </w:rPr>
        <w:t xml:space="preserve">Minimum and Maximum </w:t>
      </w:r>
      <w:r w:rsidRPr="0029470F">
        <w:rPr>
          <w:rFonts w:hint="eastAsia"/>
          <w:b/>
          <w:bCs/>
          <w:u w:val="single"/>
        </w:rPr>
        <w:t>C</w:t>
      </w:r>
      <w:r w:rsidRPr="0029470F">
        <w:rPr>
          <w:b/>
          <w:bCs/>
          <w:u w:val="single"/>
        </w:rPr>
        <w:t xml:space="preserve">hannel </w:t>
      </w:r>
      <w:r w:rsidRPr="0029470F">
        <w:rPr>
          <w:rFonts w:hint="eastAsia"/>
          <w:b/>
          <w:bCs/>
          <w:u w:val="single"/>
        </w:rPr>
        <w:t>b</w:t>
      </w:r>
      <w:r w:rsidRPr="0029470F">
        <w:rPr>
          <w:b/>
          <w:bCs/>
          <w:u w:val="single"/>
        </w:rPr>
        <w:t>andwidth</w:t>
      </w:r>
      <w:r>
        <w:rPr>
          <w:rFonts w:hint="eastAsia"/>
          <w:b/>
          <w:bCs/>
          <w:u w:val="single"/>
        </w:rPr>
        <w:t xml:space="preserve"> Consideration in 6GR</w:t>
      </w:r>
    </w:p>
    <w:p w14:paraId="6DA77916" w14:textId="0EA3F42E" w:rsidR="00204CD8" w:rsidRPr="0010411E" w:rsidRDefault="00204CD8" w:rsidP="00204CD8">
      <w:pPr>
        <w:pStyle w:val="Proposal"/>
        <w:rPr>
          <w:bCs w:val="0"/>
        </w:rPr>
      </w:pPr>
      <w:r w:rsidRPr="009407B1">
        <w:t xml:space="preserve">Proposal </w:t>
      </w:r>
      <w:r w:rsidRPr="009407B1">
        <w:rPr>
          <w:rFonts w:hint="eastAsia"/>
        </w:rPr>
        <w:t>3</w:t>
      </w:r>
      <w:r w:rsidRPr="009407B1">
        <w:t>:</w:t>
      </w:r>
      <w:r w:rsidRPr="009407B1">
        <w:rPr>
          <w:rFonts w:hint="eastAsia"/>
        </w:rPr>
        <w:t xml:space="preserve"> </w:t>
      </w:r>
      <w:r w:rsidRPr="009407B1">
        <w:t xml:space="preserve">Carrier bandwidth configurations in 6GR should consider </w:t>
      </w:r>
      <w:r w:rsidRPr="009407B1">
        <w:rPr>
          <w:rFonts w:hint="eastAsia"/>
        </w:rPr>
        <w:t>not only</w:t>
      </w:r>
      <w:r w:rsidRPr="009407B1">
        <w:t xml:space="preserve"> wideband support for </w:t>
      </w:r>
      <w:proofErr w:type="spellStart"/>
      <w:r w:rsidRPr="009407B1">
        <w:t>eMBB</w:t>
      </w:r>
      <w:proofErr w:type="spellEnd"/>
      <w:r w:rsidRPr="009407B1">
        <w:rPr>
          <w:rFonts w:hint="eastAsia"/>
        </w:rPr>
        <w:t>,</w:t>
      </w:r>
      <w:r w:rsidRPr="009407B1">
        <w:t xml:space="preserve"> </w:t>
      </w:r>
      <w:r w:rsidRPr="009407B1">
        <w:rPr>
          <w:rFonts w:hint="eastAsia"/>
        </w:rPr>
        <w:t>but also</w:t>
      </w:r>
      <w:r w:rsidRPr="009407B1">
        <w:t xml:space="preserve"> narrowband operation (e.g., 3 MHz</w:t>
      </w:r>
      <w:r w:rsidR="00601A68">
        <w:rPr>
          <w:rFonts w:hint="eastAsia"/>
        </w:rPr>
        <w:t>, 5MHz</w:t>
      </w:r>
      <w:r w:rsidRPr="009407B1">
        <w:t>) for LPWA use cases from Day-1.</w:t>
      </w:r>
    </w:p>
    <w:p w14:paraId="1DB8C989" w14:textId="77777777" w:rsidR="00204CD8" w:rsidRDefault="00204CD8" w:rsidP="00204CD8">
      <w:pPr>
        <w:rPr>
          <w:lang w:val="en-US" w:eastAsia="ko-KR"/>
        </w:rPr>
      </w:pPr>
    </w:p>
    <w:p w14:paraId="511A10B1" w14:textId="77777777" w:rsidR="00204CD8" w:rsidRPr="0029470F" w:rsidRDefault="00204CD8" w:rsidP="00204CD8">
      <w:pPr>
        <w:pStyle w:val="4"/>
        <w:numPr>
          <w:ilvl w:val="0"/>
          <w:numId w:val="0"/>
        </w:numPr>
        <w:rPr>
          <w:b/>
          <w:bCs/>
          <w:u w:val="single"/>
        </w:rPr>
      </w:pPr>
      <w:r w:rsidRPr="0029470F">
        <w:rPr>
          <w:rFonts w:hint="eastAsia"/>
          <w:b/>
          <w:bCs/>
          <w:u w:val="single"/>
        </w:rPr>
        <w:t>Subcarrier Spacing</w:t>
      </w:r>
      <w:r>
        <w:rPr>
          <w:rFonts w:hint="eastAsia"/>
          <w:b/>
          <w:bCs/>
          <w:u w:val="single"/>
        </w:rPr>
        <w:t xml:space="preserve"> Consideration</w:t>
      </w:r>
    </w:p>
    <w:p w14:paraId="2F142227" w14:textId="77777777" w:rsidR="00204CD8" w:rsidRPr="007E2DEB" w:rsidRDefault="00204CD8" w:rsidP="00204CD8">
      <w:pPr>
        <w:pStyle w:val="Proposal"/>
      </w:pPr>
      <w:r w:rsidRPr="007E2DEB">
        <w:t xml:space="preserve">Proposal </w:t>
      </w:r>
      <w:r w:rsidRPr="00EF49DC">
        <w:rPr>
          <w:rFonts w:hint="eastAsia"/>
        </w:rPr>
        <w:t>4</w:t>
      </w:r>
      <w:r w:rsidRPr="007E2DEB">
        <w:t xml:space="preserve">: </w:t>
      </w:r>
      <w:r w:rsidRPr="00EF49DC">
        <w:rPr>
          <w:rFonts w:hint="eastAsia"/>
        </w:rPr>
        <w:t>C</w:t>
      </w:r>
      <w:r w:rsidRPr="00EF49DC">
        <w:t>arefully study whether supporting single or multiple numerologies is better suited for 6GR, considering not only TN environments but also scenarios such as NTN and ISAC.</w:t>
      </w:r>
    </w:p>
    <w:p w14:paraId="5ED29E91" w14:textId="77777777" w:rsidR="00204CD8" w:rsidRDefault="00204CD8" w:rsidP="00204CD8">
      <w:pPr>
        <w:rPr>
          <w:lang w:val="en-US" w:eastAsia="ko-KR"/>
        </w:rPr>
      </w:pPr>
    </w:p>
    <w:p w14:paraId="5CC63D0F" w14:textId="77777777" w:rsidR="00204CD8" w:rsidRPr="0029470F" w:rsidRDefault="00204CD8" w:rsidP="00204CD8">
      <w:pPr>
        <w:pStyle w:val="4"/>
        <w:numPr>
          <w:ilvl w:val="0"/>
          <w:numId w:val="0"/>
        </w:numPr>
        <w:rPr>
          <w:b/>
          <w:bCs/>
          <w:u w:val="single"/>
        </w:rPr>
      </w:pPr>
      <w:r w:rsidRPr="0029470F">
        <w:rPr>
          <w:rFonts w:hint="eastAsia"/>
          <w:b/>
          <w:bCs/>
          <w:u w:val="single"/>
        </w:rPr>
        <w:t xml:space="preserve">The </w:t>
      </w:r>
      <w:r w:rsidRPr="0029470F">
        <w:rPr>
          <w:b/>
          <w:bCs/>
          <w:u w:val="single"/>
        </w:rPr>
        <w:t>length</w:t>
      </w:r>
      <w:r w:rsidRPr="0029470F">
        <w:rPr>
          <w:rFonts w:hint="eastAsia"/>
          <w:b/>
          <w:bCs/>
          <w:u w:val="single"/>
        </w:rPr>
        <w:t xml:space="preserve"> of OFDM symbol </w:t>
      </w:r>
    </w:p>
    <w:p w14:paraId="627A683E" w14:textId="77777777" w:rsidR="00204CD8" w:rsidRPr="008454D6" w:rsidRDefault="00204CD8" w:rsidP="00204CD8">
      <w:pPr>
        <w:pStyle w:val="Proposal"/>
      </w:pPr>
      <w:r w:rsidRPr="00A23D47">
        <w:t xml:space="preserve">Proposal </w:t>
      </w:r>
      <w:r w:rsidRPr="00A23D47">
        <w:rPr>
          <w:rFonts w:hint="eastAsia"/>
        </w:rPr>
        <w:t>5</w:t>
      </w:r>
      <w:r w:rsidRPr="00A23D47">
        <w:t>:</w:t>
      </w:r>
      <w:r w:rsidRPr="00A23D47">
        <w:rPr>
          <w:rFonts w:hint="eastAsia"/>
        </w:rPr>
        <w:t xml:space="preserve"> </w:t>
      </w:r>
      <w:r w:rsidRPr="00A23D47">
        <w:rPr>
          <w:lang w:val="en-GB"/>
        </w:rPr>
        <w:t>Study to assess whether Normal CP is sufficient for 6GR, or if slightly longer CPs are needed to support extended delay spread and/or multi-TRP operation.</w:t>
      </w:r>
    </w:p>
    <w:p w14:paraId="749D9767" w14:textId="77777777" w:rsidR="00204CD8" w:rsidRPr="00204CD8" w:rsidRDefault="00204CD8" w:rsidP="00204CD8">
      <w:pPr>
        <w:rPr>
          <w:lang w:val="en-US" w:eastAsia="ko-KR"/>
        </w:rPr>
      </w:pPr>
    </w:p>
    <w:p w14:paraId="087D8E21" w14:textId="77777777" w:rsidR="00204CD8" w:rsidRPr="0029470F" w:rsidRDefault="00204CD8" w:rsidP="00204CD8">
      <w:pPr>
        <w:pStyle w:val="4"/>
        <w:numPr>
          <w:ilvl w:val="0"/>
          <w:numId w:val="0"/>
        </w:numPr>
        <w:rPr>
          <w:b/>
          <w:bCs/>
          <w:u w:val="single"/>
        </w:rPr>
      </w:pPr>
      <w:r w:rsidRPr="0029470F">
        <w:rPr>
          <w:rFonts w:hint="eastAsia"/>
          <w:b/>
          <w:bCs/>
          <w:u w:val="single"/>
        </w:rPr>
        <w:t>Slot, subframe</w:t>
      </w:r>
      <w:r>
        <w:rPr>
          <w:rFonts w:hint="eastAsia"/>
          <w:b/>
          <w:bCs/>
          <w:u w:val="single"/>
        </w:rPr>
        <w:t xml:space="preserve"> and Multi-slot Consideration in 6GR</w:t>
      </w:r>
    </w:p>
    <w:p w14:paraId="5B8D2BA1" w14:textId="77777777" w:rsidR="00204CD8" w:rsidRPr="008454D6" w:rsidRDefault="00204CD8" w:rsidP="00204CD8">
      <w:pPr>
        <w:pStyle w:val="Proposal"/>
      </w:pPr>
      <w:r w:rsidRPr="008454D6">
        <w:t xml:space="preserve">Proposal </w:t>
      </w:r>
      <w:r>
        <w:rPr>
          <w:rFonts w:hint="eastAsia"/>
        </w:rPr>
        <w:t>6</w:t>
      </w:r>
      <w:r w:rsidRPr="008454D6">
        <w:t>:</w:t>
      </w:r>
      <w:r>
        <w:rPr>
          <w:rFonts w:hint="eastAsia"/>
        </w:rPr>
        <w:t xml:space="preserve"> </w:t>
      </w:r>
      <w:r w:rsidRPr="00771695">
        <w:t>The 5G NR’s scalable slot and subframe structure should be adopted as the foundation for frame structure design in 6GR. Additionally, the benefits of multi-slot-based operation for 6GR should be studied.</w:t>
      </w:r>
    </w:p>
    <w:p w14:paraId="394EDD55" w14:textId="77777777" w:rsidR="00204CD8" w:rsidRDefault="00204CD8" w:rsidP="00965BFD">
      <w:pPr>
        <w:rPr>
          <w:b/>
          <w:lang w:val="en-US" w:eastAsia="ko-KR"/>
        </w:rPr>
      </w:pPr>
    </w:p>
    <w:p w14:paraId="2A9E7DE4" w14:textId="77777777" w:rsidR="00204CD8" w:rsidRPr="0029470F" w:rsidRDefault="00204CD8" w:rsidP="00204CD8">
      <w:pPr>
        <w:pStyle w:val="4"/>
        <w:numPr>
          <w:ilvl w:val="0"/>
          <w:numId w:val="0"/>
        </w:numPr>
        <w:rPr>
          <w:b/>
          <w:bCs/>
          <w:u w:val="single"/>
        </w:rPr>
      </w:pPr>
      <w:r w:rsidRPr="0029470F">
        <w:rPr>
          <w:rFonts w:hint="eastAsia"/>
          <w:b/>
          <w:bCs/>
          <w:u w:val="single"/>
        </w:rPr>
        <w:lastRenderedPageBreak/>
        <w:t>Bandwidth part</w:t>
      </w:r>
      <w:r>
        <w:rPr>
          <w:rFonts w:hint="eastAsia"/>
          <w:b/>
          <w:bCs/>
          <w:u w:val="single"/>
        </w:rPr>
        <w:t xml:space="preserve"> Consideration in 6GR</w:t>
      </w:r>
    </w:p>
    <w:p w14:paraId="316F4C16" w14:textId="77777777" w:rsidR="00204CD8" w:rsidRPr="00723307" w:rsidRDefault="00204CD8" w:rsidP="00204CD8">
      <w:pPr>
        <w:pStyle w:val="Proposal"/>
      </w:pPr>
      <w:r w:rsidRPr="00CE2C25">
        <w:t xml:space="preserve">Proposal </w:t>
      </w:r>
      <w:r w:rsidRPr="00CE2C25">
        <w:rPr>
          <w:rFonts w:hint="eastAsia"/>
        </w:rPr>
        <w:t>7</w:t>
      </w:r>
      <w:r w:rsidRPr="00CE2C25">
        <w:t>:</w:t>
      </w:r>
      <w:r w:rsidRPr="00CE2C25">
        <w:rPr>
          <w:rFonts w:hint="eastAsia"/>
        </w:rPr>
        <w:t xml:space="preserve"> </w:t>
      </w:r>
      <w:r w:rsidRPr="00CE2C25">
        <w:rPr>
          <w:lang w:val="en-GB"/>
        </w:rPr>
        <w:t xml:space="preserve">The BWP concept may be reused or refined in the context of 6GR, with further studies focusing on its potential enhancements. In particular, it is necessary to study whether, in unpaired spectrum scenarios, the </w:t>
      </w:r>
      <w:proofErr w:type="spellStart"/>
      <w:r w:rsidRPr="00CE2C25">
        <w:rPr>
          <w:lang w:val="en-GB"/>
        </w:rPr>
        <w:t>center</w:t>
      </w:r>
      <w:proofErr w:type="spellEnd"/>
      <w:r w:rsidRPr="00CE2C25">
        <w:rPr>
          <w:lang w:val="en-GB"/>
        </w:rPr>
        <w:t xml:space="preserve"> frequencies of DL and UL BWPs should be aligned or allowed to differ to support more flexible duplexing schemes.</w:t>
      </w:r>
    </w:p>
    <w:p w14:paraId="20A665DC" w14:textId="77777777" w:rsidR="00204CD8" w:rsidRDefault="00204CD8" w:rsidP="00965BFD">
      <w:pPr>
        <w:rPr>
          <w:b/>
          <w:lang w:val="en-US" w:eastAsia="ko-KR"/>
        </w:rPr>
      </w:pPr>
    </w:p>
    <w:p w14:paraId="32967340" w14:textId="77777777" w:rsidR="00204CD8" w:rsidRDefault="00204CD8" w:rsidP="00965BFD">
      <w:pPr>
        <w:rPr>
          <w:b/>
          <w:lang w:val="en-US" w:eastAsia="ko-KR"/>
        </w:rPr>
      </w:pPr>
    </w:p>
    <w:p w14:paraId="5D443033" w14:textId="07DF1E8E" w:rsidR="00204CD8" w:rsidRPr="00204CD8" w:rsidRDefault="00925C4F" w:rsidP="00204CD8">
      <w:pPr>
        <w:pStyle w:val="4"/>
        <w:numPr>
          <w:ilvl w:val="0"/>
          <w:numId w:val="0"/>
        </w:numPr>
        <w:rPr>
          <w:b/>
          <w:bCs/>
          <w:u w:val="single"/>
        </w:rPr>
      </w:pPr>
      <w:r w:rsidRPr="00925C4F">
        <w:rPr>
          <w:b/>
          <w:bCs/>
          <w:u w:val="single"/>
        </w:rPr>
        <w:t>UL/DL Resource Design and Duplexing Flexibility in 6GR</w:t>
      </w:r>
    </w:p>
    <w:p w14:paraId="3988EE6A" w14:textId="77777777" w:rsidR="00204CD8" w:rsidRPr="005B0B11" w:rsidRDefault="00204CD8" w:rsidP="00204CD8">
      <w:pPr>
        <w:pStyle w:val="Proposal"/>
      </w:pPr>
      <w:r w:rsidRPr="005B0B11">
        <w:t xml:space="preserve">Proposal </w:t>
      </w:r>
      <w:r>
        <w:rPr>
          <w:rFonts w:hint="eastAsia"/>
        </w:rPr>
        <w:t>8</w:t>
      </w:r>
      <w:r w:rsidRPr="005B0B11">
        <w:t>: Study a unified UL/DL resource configuration for various duplexing schemes that can be supported in 6G, including</w:t>
      </w:r>
      <w:r w:rsidRPr="00925C4F">
        <w:rPr>
          <w:rFonts w:hint="eastAsia"/>
        </w:rPr>
        <w:t xml:space="preserve">, </w:t>
      </w:r>
      <w:r w:rsidRPr="005B0B11">
        <w:t>UL and DL resource allocation to different frequency resources within the same time resource to accommodate SBFD</w:t>
      </w:r>
      <w:r w:rsidRPr="00925C4F">
        <w:rPr>
          <w:rFonts w:hint="eastAsia"/>
        </w:rPr>
        <w:t xml:space="preserve">, and </w:t>
      </w:r>
      <w:r w:rsidRPr="005B0B11">
        <w:t>Forward-compatible design for possible IBFD support</w:t>
      </w:r>
      <w:r>
        <w:rPr>
          <w:rFonts w:hint="eastAsia"/>
        </w:rPr>
        <w:t>.</w:t>
      </w:r>
    </w:p>
    <w:p w14:paraId="552F3B90" w14:textId="77777777" w:rsidR="00204CD8" w:rsidRDefault="00204CD8" w:rsidP="00204CD8">
      <w:pPr>
        <w:rPr>
          <w:lang w:val="en-US" w:eastAsia="ko-KR"/>
        </w:rPr>
      </w:pPr>
    </w:p>
    <w:p w14:paraId="2805B2BF" w14:textId="77777777" w:rsidR="00204CD8" w:rsidRPr="005B0B11" w:rsidRDefault="00204CD8" w:rsidP="00204CD8">
      <w:pPr>
        <w:pStyle w:val="Proposal"/>
      </w:pPr>
      <w:r w:rsidRPr="005B0B11">
        <w:t xml:space="preserve">Proposal </w:t>
      </w:r>
      <w:r w:rsidRPr="005B0B11">
        <w:rPr>
          <w:rFonts w:hint="eastAsia"/>
        </w:rPr>
        <w:t>9</w:t>
      </w:r>
      <w:r w:rsidRPr="005B0B11">
        <w:t>: Support at least DL resource, UL resource and Flexible resource for 6G</w:t>
      </w:r>
      <w:r w:rsidRPr="005B0B11">
        <w:rPr>
          <w:rFonts w:hint="eastAsia"/>
        </w:rPr>
        <w:t xml:space="preserve">. In </w:t>
      </w:r>
      <w:r w:rsidRPr="005B0B11">
        <w:t>addition</w:t>
      </w:r>
      <w:r w:rsidRPr="005B0B11">
        <w:rPr>
          <w:rFonts w:hint="eastAsia"/>
        </w:rPr>
        <w:t>, s</w:t>
      </w:r>
      <w:r w:rsidRPr="005B0B11">
        <w:t>imilar to 5G NR, support placing DL resources at the front part and UL resources at the rear part of the period of UL/DL resource configuration.</w:t>
      </w:r>
    </w:p>
    <w:p w14:paraId="20744848" w14:textId="77777777" w:rsidR="00204CD8" w:rsidRDefault="00204CD8" w:rsidP="00204CD8">
      <w:pPr>
        <w:rPr>
          <w:lang w:val="en-US" w:eastAsia="ko-KR"/>
        </w:rPr>
      </w:pPr>
    </w:p>
    <w:p w14:paraId="5BC72125" w14:textId="77777777" w:rsidR="00925C4F" w:rsidRDefault="00925C4F" w:rsidP="00204CD8">
      <w:pPr>
        <w:rPr>
          <w:lang w:val="en-US" w:eastAsia="ko-KR"/>
        </w:rPr>
      </w:pPr>
    </w:p>
    <w:p w14:paraId="6560DB3F" w14:textId="4FC7EF87" w:rsidR="00204CD8" w:rsidRPr="00204CD8" w:rsidRDefault="00204CD8" w:rsidP="00204CD8">
      <w:pPr>
        <w:pStyle w:val="4"/>
        <w:numPr>
          <w:ilvl w:val="0"/>
          <w:numId w:val="0"/>
        </w:numPr>
        <w:rPr>
          <w:b/>
          <w:bCs/>
          <w:u w:val="single"/>
        </w:rPr>
      </w:pPr>
      <w:r w:rsidRPr="00204CD8">
        <w:rPr>
          <w:b/>
          <w:bCs/>
          <w:u w:val="single"/>
        </w:rPr>
        <w:t>Integrated Sensing and Communication (ISAC) Considerations</w:t>
      </w:r>
    </w:p>
    <w:p w14:paraId="646AFE00" w14:textId="77777777" w:rsidR="00204CD8" w:rsidRPr="002E5FE2" w:rsidRDefault="00204CD8" w:rsidP="00204CD8">
      <w:pPr>
        <w:pStyle w:val="Proposal"/>
      </w:pPr>
      <w:r w:rsidRPr="002E5FE2">
        <w:t xml:space="preserve">Proposal </w:t>
      </w:r>
      <w:r>
        <w:rPr>
          <w:rFonts w:hint="eastAsia"/>
        </w:rPr>
        <w:t>10</w:t>
      </w:r>
      <w:r w:rsidRPr="002E5FE2">
        <w:t>: Study the configuration of a silent time gap before and/or after the sensing signal in a frame structure.</w:t>
      </w:r>
    </w:p>
    <w:p w14:paraId="5814C6D0" w14:textId="77777777" w:rsidR="00204CD8" w:rsidRDefault="00204CD8" w:rsidP="00965BFD">
      <w:pPr>
        <w:rPr>
          <w:b/>
          <w:lang w:val="en-US" w:eastAsia="ko-KR"/>
        </w:rPr>
      </w:pPr>
    </w:p>
    <w:p w14:paraId="7794AD02" w14:textId="77777777" w:rsidR="00204CD8" w:rsidRPr="002E5FE2" w:rsidRDefault="00204CD8" w:rsidP="00204CD8">
      <w:pPr>
        <w:pStyle w:val="Proposal"/>
      </w:pPr>
      <w:r w:rsidRPr="002E5FE2">
        <w:t>Proposal 1</w:t>
      </w:r>
      <w:r>
        <w:rPr>
          <w:rFonts w:hint="eastAsia"/>
        </w:rPr>
        <w:t>1</w:t>
      </w:r>
      <w:r w:rsidRPr="002E5FE2">
        <w:t>: Study the use of multiple SCS of OFDM signal, when the communication and the sensing signal coexist in a same spectrum.</w:t>
      </w:r>
    </w:p>
    <w:p w14:paraId="28B6602F" w14:textId="77777777" w:rsidR="00204CD8" w:rsidRPr="00204CD8" w:rsidRDefault="00204CD8" w:rsidP="00965BFD">
      <w:pPr>
        <w:rPr>
          <w:b/>
          <w:lang w:val="en-US" w:eastAsia="ko-KR"/>
        </w:rPr>
      </w:pPr>
    </w:p>
    <w:p w14:paraId="45006826" w14:textId="77777777" w:rsidR="00F126A1" w:rsidRPr="00335650" w:rsidRDefault="00F126A1" w:rsidP="00093B53">
      <w:pPr>
        <w:rPr>
          <w:rFonts w:eastAsia="바탕"/>
          <w:lang w:val="en-US" w:eastAsia="ko-KR"/>
        </w:rPr>
      </w:pPr>
    </w:p>
    <w:p w14:paraId="432F0038" w14:textId="77777777" w:rsidR="003C360B" w:rsidRPr="00EB3EA8" w:rsidRDefault="003C360B" w:rsidP="003C360B">
      <w:pPr>
        <w:pStyle w:val="1"/>
      </w:pPr>
      <w:r w:rsidRPr="00EB3EA8">
        <w:rPr>
          <w:rFonts w:hint="eastAsia"/>
        </w:rPr>
        <w:t>Reference</w:t>
      </w:r>
    </w:p>
    <w:p w14:paraId="51169C70" w14:textId="77777777" w:rsidR="00DB0EBB" w:rsidRDefault="00DB0EBB" w:rsidP="00DB0EBB">
      <w:pPr>
        <w:numPr>
          <w:ilvl w:val="0"/>
          <w:numId w:val="75"/>
        </w:numPr>
        <w:tabs>
          <w:tab w:val="num" w:pos="942"/>
        </w:tabs>
        <w:overflowPunct/>
        <w:autoSpaceDE/>
        <w:adjustRightInd/>
        <w:spacing w:before="50" w:afterLines="50" w:line="240" w:lineRule="atLeast"/>
        <w:textAlignment w:val="auto"/>
        <w:rPr>
          <w:lang w:val="en-US" w:eastAsia="ko-KR"/>
        </w:rPr>
      </w:pPr>
      <w:r>
        <w:rPr>
          <w:kern w:val="2"/>
          <w:lang w:eastAsia="ko-KR"/>
        </w:rPr>
        <w:t>NTT DOCOMO, “New SID: Study on 6G Radio”, RP-251881, RAN#108, June 9-13, 2025</w:t>
      </w:r>
    </w:p>
    <w:p w14:paraId="3C33CFAA" w14:textId="535C249F" w:rsidR="004E7CA1" w:rsidRPr="004E7CA1" w:rsidRDefault="00DB0EBB"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lang w:val="en-US" w:eastAsia="ko-KR"/>
        </w:rPr>
        <w:t xml:space="preserve">LG Electronics, </w:t>
      </w:r>
      <w:r w:rsidRPr="007E4393">
        <w:rPr>
          <w:lang w:val="en-US" w:eastAsia="ko-KR"/>
        </w:rPr>
        <w:t>“</w:t>
      </w:r>
      <w:r w:rsidR="007E4393" w:rsidRPr="007E4393">
        <w:rPr>
          <w:lang w:val="en-US" w:eastAsia="ko-KR"/>
        </w:rPr>
        <w:t>Views on overall design and techniques for 6GR air interface</w:t>
      </w:r>
      <w:r w:rsidRPr="007E4393">
        <w:rPr>
          <w:lang w:val="en-US" w:eastAsia="ko-KR"/>
        </w:rPr>
        <w:t>”</w:t>
      </w:r>
      <w:r w:rsidRPr="007E4393">
        <w:rPr>
          <w:rFonts w:hint="eastAsia"/>
          <w:lang w:val="en-US" w:eastAsia="ko-KR"/>
        </w:rPr>
        <w:t xml:space="preserve">, </w:t>
      </w:r>
      <w:r w:rsidR="007E4393" w:rsidRPr="007E4393">
        <w:rPr>
          <w:lang w:val="en-US" w:eastAsia="ko-KR"/>
        </w:rPr>
        <w:t>R1-2505854</w:t>
      </w:r>
      <w:r>
        <w:rPr>
          <w:rFonts w:hint="eastAsia"/>
          <w:lang w:val="en-US" w:eastAsia="ko-KR"/>
        </w:rPr>
        <w:t xml:space="preserve">, RAN1#122, </w:t>
      </w:r>
      <w:r w:rsidR="005A7D7B">
        <w:rPr>
          <w:rFonts w:hint="eastAsia"/>
          <w:lang w:val="en-US" w:eastAsia="ko-KR"/>
        </w:rPr>
        <w:t>Aug 25</w:t>
      </w:r>
      <w:r w:rsidR="005A7D7B" w:rsidRPr="005A7D7B">
        <w:rPr>
          <w:rFonts w:hint="eastAsia"/>
          <w:vertAlign w:val="superscript"/>
          <w:lang w:val="en-US" w:eastAsia="ko-KR"/>
        </w:rPr>
        <w:t>th</w:t>
      </w:r>
      <w:r w:rsidR="005A7D7B">
        <w:rPr>
          <w:rFonts w:hint="eastAsia"/>
          <w:lang w:val="en-US" w:eastAsia="ko-KR"/>
        </w:rPr>
        <w:t xml:space="preserve"> </w:t>
      </w:r>
      <w:r w:rsidR="005A7D7B">
        <w:rPr>
          <w:lang w:val="en-US" w:eastAsia="ko-KR"/>
        </w:rPr>
        <w:t>–</w:t>
      </w:r>
      <w:r w:rsidR="005A7D7B">
        <w:rPr>
          <w:rFonts w:hint="eastAsia"/>
          <w:lang w:val="en-US" w:eastAsia="ko-KR"/>
        </w:rPr>
        <w:t xml:space="preserve"> 29</w:t>
      </w:r>
      <w:r w:rsidR="005A7D7B" w:rsidRPr="005A7D7B">
        <w:rPr>
          <w:rFonts w:hint="eastAsia"/>
          <w:vertAlign w:val="superscript"/>
          <w:lang w:val="en-US" w:eastAsia="ko-KR"/>
        </w:rPr>
        <w:t>th</w:t>
      </w:r>
      <w:r w:rsidR="005A7D7B">
        <w:rPr>
          <w:rFonts w:hint="eastAsia"/>
          <w:lang w:val="en-US" w:eastAsia="ko-KR"/>
        </w:rPr>
        <w:t>, 2025</w:t>
      </w:r>
    </w:p>
    <w:p w14:paraId="15E37941" w14:textId="77777777" w:rsidR="00AC27F7" w:rsidRDefault="00AC27F7" w:rsidP="00B74CC1">
      <w:pPr>
        <w:overflowPunct/>
        <w:autoSpaceDE/>
        <w:autoSpaceDN/>
        <w:adjustRightInd/>
        <w:spacing w:before="50" w:afterLines="50" w:line="240" w:lineRule="atLeast"/>
        <w:textAlignment w:val="auto"/>
        <w:rPr>
          <w:kern w:val="2"/>
          <w:lang w:eastAsia="ko-KR"/>
        </w:rPr>
      </w:pPr>
    </w:p>
    <w:sectPr w:rsidR="00AC27F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4507D" w14:textId="77777777" w:rsidR="001E3EB3" w:rsidRDefault="001E3EB3">
      <w:pPr>
        <w:spacing w:after="0"/>
      </w:pPr>
      <w:r>
        <w:separator/>
      </w:r>
    </w:p>
  </w:endnote>
  <w:endnote w:type="continuationSeparator" w:id="0">
    <w:p w14:paraId="0AA66A89" w14:textId="77777777" w:rsidR="001E3EB3" w:rsidRDefault="001E3E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LG스마트체 Light">
    <w:panose1 w:val="020B0600000101010101"/>
    <w:charset w:val="81"/>
    <w:family w:val="modern"/>
    <w:pitch w:val="variable"/>
    <w:sig w:usb0="00000203" w:usb1="29D72C10" w:usb2="00000010" w:usb3="00000000" w:csb0="00280005" w:csb1="00000000"/>
  </w:font>
  <w:font w:name="ZapfDingbats">
    <w:panose1 w:val="00000000000000000000"/>
    <w:charset w:val="02"/>
    <w:family w:val="decorative"/>
    <w:notTrueType/>
    <w:pitch w:val="variable"/>
    <w:sig w:usb0="00000000" w:usb1="10000000" w:usb2="00000000" w:usb3="00000000" w:csb0="80000000"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40912334"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30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939E0" w14:textId="77777777" w:rsidR="001E3EB3" w:rsidRDefault="001E3EB3">
      <w:pPr>
        <w:spacing w:after="0"/>
      </w:pPr>
      <w:r>
        <w:separator/>
      </w:r>
    </w:p>
  </w:footnote>
  <w:footnote w:type="continuationSeparator" w:id="0">
    <w:p w14:paraId="669799C1" w14:textId="77777777" w:rsidR="001E3EB3" w:rsidRDefault="001E3E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844888" w:rsidRDefault="00844888">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BB7BE6"/>
    <w:multiLevelType w:val="hybridMultilevel"/>
    <w:tmpl w:val="C01A5FE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B843B5"/>
    <w:multiLevelType w:val="hybridMultilevel"/>
    <w:tmpl w:val="6E1A65C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CF70F3A"/>
    <w:multiLevelType w:val="hybridMultilevel"/>
    <w:tmpl w:val="26FAA834"/>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47B6E20"/>
    <w:multiLevelType w:val="hybridMultilevel"/>
    <w:tmpl w:val="293E83BE"/>
    <w:lvl w:ilvl="0" w:tplc="9AECD208">
      <w:start w:val="1"/>
      <w:numFmt w:val="bullet"/>
      <w:lvlText w:val="–"/>
      <w:lvlJc w:val="left"/>
      <w:pPr>
        <w:tabs>
          <w:tab w:val="num" w:pos="360"/>
        </w:tabs>
        <w:ind w:left="360" w:hanging="360"/>
      </w:pPr>
      <w:rPr>
        <w:rFonts w:ascii="Arial" w:hAnsi="Arial" w:hint="default"/>
      </w:rPr>
    </w:lvl>
    <w:lvl w:ilvl="1" w:tplc="2B7E0522">
      <w:start w:val="1"/>
      <w:numFmt w:val="bullet"/>
      <w:lvlText w:val="–"/>
      <w:lvlJc w:val="left"/>
      <w:pPr>
        <w:tabs>
          <w:tab w:val="num" w:pos="1080"/>
        </w:tabs>
        <w:ind w:left="1080" w:hanging="360"/>
      </w:pPr>
      <w:rPr>
        <w:rFonts w:ascii="Arial" w:hAnsi="Arial" w:hint="default"/>
      </w:rPr>
    </w:lvl>
    <w:lvl w:ilvl="2" w:tplc="669C0224" w:tentative="1">
      <w:start w:val="1"/>
      <w:numFmt w:val="bullet"/>
      <w:lvlText w:val="–"/>
      <w:lvlJc w:val="left"/>
      <w:pPr>
        <w:tabs>
          <w:tab w:val="num" w:pos="1800"/>
        </w:tabs>
        <w:ind w:left="1800" w:hanging="360"/>
      </w:pPr>
      <w:rPr>
        <w:rFonts w:ascii="Arial" w:hAnsi="Arial" w:hint="default"/>
      </w:rPr>
    </w:lvl>
    <w:lvl w:ilvl="3" w:tplc="6A0E2694" w:tentative="1">
      <w:start w:val="1"/>
      <w:numFmt w:val="bullet"/>
      <w:lvlText w:val="–"/>
      <w:lvlJc w:val="left"/>
      <w:pPr>
        <w:tabs>
          <w:tab w:val="num" w:pos="2520"/>
        </w:tabs>
        <w:ind w:left="2520" w:hanging="360"/>
      </w:pPr>
      <w:rPr>
        <w:rFonts w:ascii="Arial" w:hAnsi="Arial" w:hint="default"/>
      </w:rPr>
    </w:lvl>
    <w:lvl w:ilvl="4" w:tplc="4B5EDE1E" w:tentative="1">
      <w:start w:val="1"/>
      <w:numFmt w:val="bullet"/>
      <w:lvlText w:val="–"/>
      <w:lvlJc w:val="left"/>
      <w:pPr>
        <w:tabs>
          <w:tab w:val="num" w:pos="3240"/>
        </w:tabs>
        <w:ind w:left="3240" w:hanging="360"/>
      </w:pPr>
      <w:rPr>
        <w:rFonts w:ascii="Arial" w:hAnsi="Arial" w:hint="default"/>
      </w:rPr>
    </w:lvl>
    <w:lvl w:ilvl="5" w:tplc="DA8819FE" w:tentative="1">
      <w:start w:val="1"/>
      <w:numFmt w:val="bullet"/>
      <w:lvlText w:val="–"/>
      <w:lvlJc w:val="left"/>
      <w:pPr>
        <w:tabs>
          <w:tab w:val="num" w:pos="3960"/>
        </w:tabs>
        <w:ind w:left="3960" w:hanging="360"/>
      </w:pPr>
      <w:rPr>
        <w:rFonts w:ascii="Arial" w:hAnsi="Arial" w:hint="default"/>
      </w:rPr>
    </w:lvl>
    <w:lvl w:ilvl="6" w:tplc="7F4044EA" w:tentative="1">
      <w:start w:val="1"/>
      <w:numFmt w:val="bullet"/>
      <w:lvlText w:val="–"/>
      <w:lvlJc w:val="left"/>
      <w:pPr>
        <w:tabs>
          <w:tab w:val="num" w:pos="4680"/>
        </w:tabs>
        <w:ind w:left="4680" w:hanging="360"/>
      </w:pPr>
      <w:rPr>
        <w:rFonts w:ascii="Arial" w:hAnsi="Arial" w:hint="default"/>
      </w:rPr>
    </w:lvl>
    <w:lvl w:ilvl="7" w:tplc="433A6018" w:tentative="1">
      <w:start w:val="1"/>
      <w:numFmt w:val="bullet"/>
      <w:lvlText w:val="–"/>
      <w:lvlJc w:val="left"/>
      <w:pPr>
        <w:tabs>
          <w:tab w:val="num" w:pos="5400"/>
        </w:tabs>
        <w:ind w:left="5400" w:hanging="360"/>
      </w:pPr>
      <w:rPr>
        <w:rFonts w:ascii="Arial" w:hAnsi="Arial" w:hint="default"/>
      </w:rPr>
    </w:lvl>
    <w:lvl w:ilvl="8" w:tplc="F6B2951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49B28E5"/>
    <w:multiLevelType w:val="hybridMultilevel"/>
    <w:tmpl w:val="F7F88912"/>
    <w:lvl w:ilvl="0" w:tplc="04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4E13972"/>
    <w:multiLevelType w:val="hybridMultilevel"/>
    <w:tmpl w:val="12209D6E"/>
    <w:lvl w:ilvl="0" w:tplc="0F022552">
      <w:start w:val="1"/>
      <w:numFmt w:val="bullet"/>
      <w:lvlText w:val="–"/>
      <w:lvlJc w:val="left"/>
      <w:pPr>
        <w:tabs>
          <w:tab w:val="num" w:pos="720"/>
        </w:tabs>
        <w:ind w:left="720" w:hanging="360"/>
      </w:pPr>
      <w:rPr>
        <w:rFonts w:ascii="Arial" w:hAnsi="Arial" w:hint="default"/>
      </w:rPr>
    </w:lvl>
    <w:lvl w:ilvl="1" w:tplc="0BBA35F0">
      <w:start w:val="1"/>
      <w:numFmt w:val="bullet"/>
      <w:lvlText w:val="–"/>
      <w:lvlJc w:val="left"/>
      <w:pPr>
        <w:tabs>
          <w:tab w:val="num" w:pos="1440"/>
        </w:tabs>
        <w:ind w:left="1440" w:hanging="360"/>
      </w:pPr>
      <w:rPr>
        <w:rFonts w:ascii="Arial" w:hAnsi="Arial" w:hint="default"/>
      </w:rPr>
    </w:lvl>
    <w:lvl w:ilvl="2" w:tplc="9078D2B0" w:tentative="1">
      <w:start w:val="1"/>
      <w:numFmt w:val="bullet"/>
      <w:lvlText w:val="–"/>
      <w:lvlJc w:val="left"/>
      <w:pPr>
        <w:tabs>
          <w:tab w:val="num" w:pos="2160"/>
        </w:tabs>
        <w:ind w:left="2160" w:hanging="360"/>
      </w:pPr>
      <w:rPr>
        <w:rFonts w:ascii="Arial" w:hAnsi="Arial" w:hint="default"/>
      </w:rPr>
    </w:lvl>
    <w:lvl w:ilvl="3" w:tplc="616833C8" w:tentative="1">
      <w:start w:val="1"/>
      <w:numFmt w:val="bullet"/>
      <w:lvlText w:val="–"/>
      <w:lvlJc w:val="left"/>
      <w:pPr>
        <w:tabs>
          <w:tab w:val="num" w:pos="2880"/>
        </w:tabs>
        <w:ind w:left="2880" w:hanging="360"/>
      </w:pPr>
      <w:rPr>
        <w:rFonts w:ascii="Arial" w:hAnsi="Arial" w:hint="default"/>
      </w:rPr>
    </w:lvl>
    <w:lvl w:ilvl="4" w:tplc="F08AA22C" w:tentative="1">
      <w:start w:val="1"/>
      <w:numFmt w:val="bullet"/>
      <w:lvlText w:val="–"/>
      <w:lvlJc w:val="left"/>
      <w:pPr>
        <w:tabs>
          <w:tab w:val="num" w:pos="3600"/>
        </w:tabs>
        <w:ind w:left="3600" w:hanging="360"/>
      </w:pPr>
      <w:rPr>
        <w:rFonts w:ascii="Arial" w:hAnsi="Arial" w:hint="default"/>
      </w:rPr>
    </w:lvl>
    <w:lvl w:ilvl="5" w:tplc="DA6AB204" w:tentative="1">
      <w:start w:val="1"/>
      <w:numFmt w:val="bullet"/>
      <w:lvlText w:val="–"/>
      <w:lvlJc w:val="left"/>
      <w:pPr>
        <w:tabs>
          <w:tab w:val="num" w:pos="4320"/>
        </w:tabs>
        <w:ind w:left="4320" w:hanging="360"/>
      </w:pPr>
      <w:rPr>
        <w:rFonts w:ascii="Arial" w:hAnsi="Arial" w:hint="default"/>
      </w:rPr>
    </w:lvl>
    <w:lvl w:ilvl="6" w:tplc="FA08A08C" w:tentative="1">
      <w:start w:val="1"/>
      <w:numFmt w:val="bullet"/>
      <w:lvlText w:val="–"/>
      <w:lvlJc w:val="left"/>
      <w:pPr>
        <w:tabs>
          <w:tab w:val="num" w:pos="5040"/>
        </w:tabs>
        <w:ind w:left="5040" w:hanging="360"/>
      </w:pPr>
      <w:rPr>
        <w:rFonts w:ascii="Arial" w:hAnsi="Arial" w:hint="default"/>
      </w:rPr>
    </w:lvl>
    <w:lvl w:ilvl="7" w:tplc="B76C3A46" w:tentative="1">
      <w:start w:val="1"/>
      <w:numFmt w:val="bullet"/>
      <w:lvlText w:val="–"/>
      <w:lvlJc w:val="left"/>
      <w:pPr>
        <w:tabs>
          <w:tab w:val="num" w:pos="5760"/>
        </w:tabs>
        <w:ind w:left="5760" w:hanging="360"/>
      </w:pPr>
      <w:rPr>
        <w:rFonts w:ascii="Arial" w:hAnsi="Arial" w:hint="default"/>
      </w:rPr>
    </w:lvl>
    <w:lvl w:ilvl="8" w:tplc="F83CE0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7B1256"/>
    <w:multiLevelType w:val="multilevel"/>
    <w:tmpl w:val="CE5AF0F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85647DE"/>
    <w:multiLevelType w:val="hybridMultilevel"/>
    <w:tmpl w:val="4FDC19E2"/>
    <w:lvl w:ilvl="0" w:tplc="FFFFFFFF">
      <w:start w:val="1"/>
      <w:numFmt w:val="bullet"/>
      <w:lvlText w:val=""/>
      <w:lvlJc w:val="left"/>
      <w:pPr>
        <w:ind w:left="880" w:hanging="440"/>
      </w:pPr>
      <w:rPr>
        <w:rFonts w:ascii="Symbol" w:eastAsia="MS Mincho" w:hAnsi="Symbol" w:cs="Times New Roman" w:hint="default"/>
      </w:rPr>
    </w:lvl>
    <w:lvl w:ilvl="1" w:tplc="056E9796">
      <w:start w:val="1"/>
      <w:numFmt w:val="bullet"/>
      <w:lvlText w:val=""/>
      <w:lvlJc w:val="left"/>
      <w:pPr>
        <w:ind w:left="164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1A2D6D4D"/>
    <w:multiLevelType w:val="hybridMultilevel"/>
    <w:tmpl w:val="EFE00192"/>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E3474F4"/>
    <w:multiLevelType w:val="hybridMultilevel"/>
    <w:tmpl w:val="AB80DF10"/>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1E5A1E52"/>
    <w:multiLevelType w:val="hybridMultilevel"/>
    <w:tmpl w:val="E26A8DA4"/>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22A96221"/>
    <w:multiLevelType w:val="multilevel"/>
    <w:tmpl w:val="1E063E9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860" w:hanging="440"/>
      </w:pPr>
      <w:rPr>
        <w:rFonts w:ascii="Wingdings" w:hAnsi="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ind w:left="2960" w:hanging="440"/>
      </w:pPr>
      <w:rPr>
        <w:rFonts w:ascii="Wingdings" w:hAnsi="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7A06FAF"/>
    <w:multiLevelType w:val="hybridMultilevel"/>
    <w:tmpl w:val="BA3C0170"/>
    <w:lvl w:ilvl="0" w:tplc="94DA06A4">
      <w:start w:val="1"/>
      <w:numFmt w:val="bullet"/>
      <w:lvlText w:val="–"/>
      <w:lvlJc w:val="left"/>
      <w:pPr>
        <w:tabs>
          <w:tab w:val="num" w:pos="360"/>
        </w:tabs>
        <w:ind w:left="360" w:hanging="360"/>
      </w:pPr>
      <w:rPr>
        <w:rFonts w:ascii="Arial" w:hAnsi="Arial" w:hint="default"/>
      </w:rPr>
    </w:lvl>
    <w:lvl w:ilvl="1" w:tplc="0186AA6E">
      <w:start w:val="1"/>
      <w:numFmt w:val="bullet"/>
      <w:lvlText w:val="–"/>
      <w:lvlJc w:val="left"/>
      <w:pPr>
        <w:tabs>
          <w:tab w:val="num" w:pos="1080"/>
        </w:tabs>
        <w:ind w:left="1080" w:hanging="360"/>
      </w:pPr>
      <w:rPr>
        <w:rFonts w:ascii="Arial" w:hAnsi="Arial" w:hint="default"/>
      </w:rPr>
    </w:lvl>
    <w:lvl w:ilvl="2" w:tplc="B15ED964" w:tentative="1">
      <w:start w:val="1"/>
      <w:numFmt w:val="bullet"/>
      <w:lvlText w:val="–"/>
      <w:lvlJc w:val="left"/>
      <w:pPr>
        <w:tabs>
          <w:tab w:val="num" w:pos="1800"/>
        </w:tabs>
        <w:ind w:left="1800" w:hanging="360"/>
      </w:pPr>
      <w:rPr>
        <w:rFonts w:ascii="Arial" w:hAnsi="Arial" w:hint="default"/>
      </w:rPr>
    </w:lvl>
    <w:lvl w:ilvl="3" w:tplc="75861F60" w:tentative="1">
      <w:start w:val="1"/>
      <w:numFmt w:val="bullet"/>
      <w:lvlText w:val="–"/>
      <w:lvlJc w:val="left"/>
      <w:pPr>
        <w:tabs>
          <w:tab w:val="num" w:pos="2520"/>
        </w:tabs>
        <w:ind w:left="2520" w:hanging="360"/>
      </w:pPr>
      <w:rPr>
        <w:rFonts w:ascii="Arial" w:hAnsi="Arial" w:hint="default"/>
      </w:rPr>
    </w:lvl>
    <w:lvl w:ilvl="4" w:tplc="02D87BB8" w:tentative="1">
      <w:start w:val="1"/>
      <w:numFmt w:val="bullet"/>
      <w:lvlText w:val="–"/>
      <w:lvlJc w:val="left"/>
      <w:pPr>
        <w:tabs>
          <w:tab w:val="num" w:pos="3240"/>
        </w:tabs>
        <w:ind w:left="3240" w:hanging="360"/>
      </w:pPr>
      <w:rPr>
        <w:rFonts w:ascii="Arial" w:hAnsi="Arial" w:hint="default"/>
      </w:rPr>
    </w:lvl>
    <w:lvl w:ilvl="5" w:tplc="E2FECDE8" w:tentative="1">
      <w:start w:val="1"/>
      <w:numFmt w:val="bullet"/>
      <w:lvlText w:val="–"/>
      <w:lvlJc w:val="left"/>
      <w:pPr>
        <w:tabs>
          <w:tab w:val="num" w:pos="3960"/>
        </w:tabs>
        <w:ind w:left="3960" w:hanging="360"/>
      </w:pPr>
      <w:rPr>
        <w:rFonts w:ascii="Arial" w:hAnsi="Arial" w:hint="default"/>
      </w:rPr>
    </w:lvl>
    <w:lvl w:ilvl="6" w:tplc="BEA076BC" w:tentative="1">
      <w:start w:val="1"/>
      <w:numFmt w:val="bullet"/>
      <w:lvlText w:val="–"/>
      <w:lvlJc w:val="left"/>
      <w:pPr>
        <w:tabs>
          <w:tab w:val="num" w:pos="4680"/>
        </w:tabs>
        <w:ind w:left="4680" w:hanging="360"/>
      </w:pPr>
      <w:rPr>
        <w:rFonts w:ascii="Arial" w:hAnsi="Arial" w:hint="default"/>
      </w:rPr>
    </w:lvl>
    <w:lvl w:ilvl="7" w:tplc="6E7C19F8" w:tentative="1">
      <w:start w:val="1"/>
      <w:numFmt w:val="bullet"/>
      <w:lvlText w:val="–"/>
      <w:lvlJc w:val="left"/>
      <w:pPr>
        <w:tabs>
          <w:tab w:val="num" w:pos="5400"/>
        </w:tabs>
        <w:ind w:left="5400" w:hanging="360"/>
      </w:pPr>
      <w:rPr>
        <w:rFonts w:ascii="Arial" w:hAnsi="Arial" w:hint="default"/>
      </w:rPr>
    </w:lvl>
    <w:lvl w:ilvl="8" w:tplc="85F22C7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CA27CFF"/>
    <w:multiLevelType w:val="hybridMultilevel"/>
    <w:tmpl w:val="E1806698"/>
    <w:lvl w:ilvl="0" w:tplc="FFFFFFFF">
      <w:start w:val="1"/>
      <w:numFmt w:val="bullet"/>
      <w:lvlText w:val=""/>
      <w:lvlJc w:val="left"/>
      <w:pPr>
        <w:ind w:left="880" w:hanging="440"/>
      </w:pPr>
      <w:rPr>
        <w:rFonts w:ascii="Symbol" w:eastAsia="MS Mincho" w:hAnsi="Symbol" w:cs="Times New Roman" w:hint="default"/>
      </w:rPr>
    </w:lvl>
    <w:lvl w:ilvl="1" w:tplc="04090009">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0D7D16"/>
    <w:multiLevelType w:val="hybridMultilevel"/>
    <w:tmpl w:val="03D8ED6C"/>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2DDE5993"/>
    <w:multiLevelType w:val="hybridMultilevel"/>
    <w:tmpl w:val="B8147FF4"/>
    <w:lvl w:ilvl="0" w:tplc="E9423D7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E46E4F"/>
    <w:multiLevelType w:val="hybridMultilevel"/>
    <w:tmpl w:val="4FE8E9E6"/>
    <w:lvl w:ilvl="0" w:tplc="7108D98E">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12B7AAB"/>
    <w:multiLevelType w:val="hybridMultilevel"/>
    <w:tmpl w:val="AEE069F4"/>
    <w:lvl w:ilvl="0" w:tplc="4F76F212">
      <w:start w:val="1"/>
      <w:numFmt w:val="bullet"/>
      <w:lvlText w:val="–"/>
      <w:lvlJc w:val="left"/>
      <w:pPr>
        <w:tabs>
          <w:tab w:val="num" w:pos="720"/>
        </w:tabs>
        <w:ind w:left="720" w:hanging="360"/>
      </w:pPr>
      <w:rPr>
        <w:rFonts w:ascii="Arial" w:hAnsi="Arial" w:hint="default"/>
      </w:rPr>
    </w:lvl>
    <w:lvl w:ilvl="1" w:tplc="61149914">
      <w:start w:val="1"/>
      <w:numFmt w:val="bullet"/>
      <w:lvlText w:val="–"/>
      <w:lvlJc w:val="left"/>
      <w:pPr>
        <w:tabs>
          <w:tab w:val="num" w:pos="1440"/>
        </w:tabs>
        <w:ind w:left="1440" w:hanging="360"/>
      </w:pPr>
      <w:rPr>
        <w:rFonts w:ascii="Arial" w:hAnsi="Arial" w:hint="default"/>
      </w:rPr>
    </w:lvl>
    <w:lvl w:ilvl="2" w:tplc="18B09E24" w:tentative="1">
      <w:start w:val="1"/>
      <w:numFmt w:val="bullet"/>
      <w:lvlText w:val="–"/>
      <w:lvlJc w:val="left"/>
      <w:pPr>
        <w:tabs>
          <w:tab w:val="num" w:pos="2160"/>
        </w:tabs>
        <w:ind w:left="2160" w:hanging="360"/>
      </w:pPr>
      <w:rPr>
        <w:rFonts w:ascii="Arial" w:hAnsi="Arial" w:hint="default"/>
      </w:rPr>
    </w:lvl>
    <w:lvl w:ilvl="3" w:tplc="4112C2AC" w:tentative="1">
      <w:start w:val="1"/>
      <w:numFmt w:val="bullet"/>
      <w:lvlText w:val="–"/>
      <w:lvlJc w:val="left"/>
      <w:pPr>
        <w:tabs>
          <w:tab w:val="num" w:pos="2880"/>
        </w:tabs>
        <w:ind w:left="2880" w:hanging="360"/>
      </w:pPr>
      <w:rPr>
        <w:rFonts w:ascii="Arial" w:hAnsi="Arial" w:hint="default"/>
      </w:rPr>
    </w:lvl>
    <w:lvl w:ilvl="4" w:tplc="BD8E9CE6" w:tentative="1">
      <w:start w:val="1"/>
      <w:numFmt w:val="bullet"/>
      <w:lvlText w:val="–"/>
      <w:lvlJc w:val="left"/>
      <w:pPr>
        <w:tabs>
          <w:tab w:val="num" w:pos="3600"/>
        </w:tabs>
        <w:ind w:left="3600" w:hanging="360"/>
      </w:pPr>
      <w:rPr>
        <w:rFonts w:ascii="Arial" w:hAnsi="Arial" w:hint="default"/>
      </w:rPr>
    </w:lvl>
    <w:lvl w:ilvl="5" w:tplc="8A8817BA" w:tentative="1">
      <w:start w:val="1"/>
      <w:numFmt w:val="bullet"/>
      <w:lvlText w:val="–"/>
      <w:lvlJc w:val="left"/>
      <w:pPr>
        <w:tabs>
          <w:tab w:val="num" w:pos="4320"/>
        </w:tabs>
        <w:ind w:left="4320" w:hanging="360"/>
      </w:pPr>
      <w:rPr>
        <w:rFonts w:ascii="Arial" w:hAnsi="Arial" w:hint="default"/>
      </w:rPr>
    </w:lvl>
    <w:lvl w:ilvl="6" w:tplc="C0946224" w:tentative="1">
      <w:start w:val="1"/>
      <w:numFmt w:val="bullet"/>
      <w:lvlText w:val="–"/>
      <w:lvlJc w:val="left"/>
      <w:pPr>
        <w:tabs>
          <w:tab w:val="num" w:pos="5040"/>
        </w:tabs>
        <w:ind w:left="5040" w:hanging="360"/>
      </w:pPr>
      <w:rPr>
        <w:rFonts w:ascii="Arial" w:hAnsi="Arial" w:hint="default"/>
      </w:rPr>
    </w:lvl>
    <w:lvl w:ilvl="7" w:tplc="76EA4994" w:tentative="1">
      <w:start w:val="1"/>
      <w:numFmt w:val="bullet"/>
      <w:lvlText w:val="–"/>
      <w:lvlJc w:val="left"/>
      <w:pPr>
        <w:tabs>
          <w:tab w:val="num" w:pos="5760"/>
        </w:tabs>
        <w:ind w:left="5760" w:hanging="360"/>
      </w:pPr>
      <w:rPr>
        <w:rFonts w:ascii="Arial" w:hAnsi="Arial" w:hint="default"/>
      </w:rPr>
    </w:lvl>
    <w:lvl w:ilvl="8" w:tplc="408A598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52878DE"/>
    <w:multiLevelType w:val="hybridMultilevel"/>
    <w:tmpl w:val="5D28369E"/>
    <w:lvl w:ilvl="0" w:tplc="9DF66D58">
      <w:start w:val="2"/>
      <w:numFmt w:val="bullet"/>
      <w:lvlText w:val=""/>
      <w:lvlJc w:val="left"/>
      <w:pPr>
        <w:ind w:left="800" w:hanging="360"/>
      </w:pPr>
      <w:rPr>
        <w:rFonts w:ascii="Wingdings" w:eastAsia="맑은 고딕" w:hAnsi="Wingdings"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9D7A55"/>
    <w:multiLevelType w:val="hybridMultilevel"/>
    <w:tmpl w:val="35E8798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4E1B56"/>
    <w:multiLevelType w:val="multilevel"/>
    <w:tmpl w:val="EFBA45A0"/>
    <w:lvl w:ilvl="0">
      <w:start w:val="1"/>
      <w:numFmt w:val="bullet"/>
      <w:lvlText w:val="•"/>
      <w:lvlJc w:val="left"/>
      <w:pPr>
        <w:tabs>
          <w:tab w:val="left" w:pos="0"/>
        </w:tabs>
        <w:ind w:left="720" w:hanging="360"/>
      </w:pPr>
      <w:rPr>
        <w:rFonts w:ascii="Arial" w:hAnsi="Arial" w:cs="Times New Roman"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55338F9"/>
    <w:multiLevelType w:val="hybridMultilevel"/>
    <w:tmpl w:val="C40C77FC"/>
    <w:lvl w:ilvl="0" w:tplc="78DAD26A">
      <w:start w:val="1"/>
      <w:numFmt w:val="bullet"/>
      <w:lvlText w:val="•"/>
      <w:lvlJc w:val="left"/>
      <w:pPr>
        <w:ind w:left="800" w:hanging="400"/>
      </w:pPr>
      <w:rPr>
        <w:rFonts w:ascii="Arial" w:hAnsi="Arial" w:cs="Times New Roman" w:hint="default"/>
        <w:strike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4" w15:restartNumberingAfterBreak="0">
    <w:nsid w:val="49FC05CD"/>
    <w:multiLevelType w:val="hybridMultilevel"/>
    <w:tmpl w:val="76D430CC"/>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CF768C7"/>
    <w:multiLevelType w:val="hybridMultilevel"/>
    <w:tmpl w:val="D898E24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03E24D3"/>
    <w:multiLevelType w:val="hybridMultilevel"/>
    <w:tmpl w:val="EE3C256C"/>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0" w15:restartNumberingAfterBreak="0">
    <w:nsid w:val="50B56B42"/>
    <w:multiLevelType w:val="hybridMultilevel"/>
    <w:tmpl w:val="326CAC9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52"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3606045"/>
    <w:multiLevelType w:val="hybridMultilevel"/>
    <w:tmpl w:val="EB641CC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561F222B"/>
    <w:multiLevelType w:val="hybridMultilevel"/>
    <w:tmpl w:val="FE746CCE"/>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6" w15:restartNumberingAfterBreak="0">
    <w:nsid w:val="58E76AC0"/>
    <w:multiLevelType w:val="hybridMultilevel"/>
    <w:tmpl w:val="4134F6F2"/>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5CF90652"/>
    <w:multiLevelType w:val="hybridMultilevel"/>
    <w:tmpl w:val="72580E3C"/>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06E2125"/>
    <w:multiLevelType w:val="hybridMultilevel"/>
    <w:tmpl w:val="90B03252"/>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1" w15:restartNumberingAfterBreak="0">
    <w:nsid w:val="71CA15C0"/>
    <w:multiLevelType w:val="hybridMultilevel"/>
    <w:tmpl w:val="3CA0327E"/>
    <w:lvl w:ilvl="0" w:tplc="DB60718C">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 w15:restartNumberingAfterBreak="0">
    <w:nsid w:val="72EC12BD"/>
    <w:multiLevelType w:val="multilevel"/>
    <w:tmpl w:val="F426F61A"/>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82D18C1"/>
    <w:multiLevelType w:val="hybridMultilevel"/>
    <w:tmpl w:val="74FC8B12"/>
    <w:lvl w:ilvl="0" w:tplc="04090003">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7B3AF238">
      <w:start w:val="1"/>
      <w:numFmt w:val="bullet"/>
      <w:lvlText w:val="o"/>
      <w:lvlJc w:val="left"/>
      <w:pPr>
        <w:ind w:left="1200" w:hanging="400"/>
      </w:pPr>
      <w:rPr>
        <w:rFonts w:ascii="Courier New" w:hAnsi="Courier New" w:cs="Courier New" w:hint="default"/>
      </w:rPr>
    </w:lvl>
    <w:lvl w:ilvl="3" w:tplc="04090009">
      <w:start w:val="1"/>
      <w:numFmt w:val="bullet"/>
      <w:lvlText w:val=""/>
      <w:lvlJc w:val="left"/>
      <w:pPr>
        <w:ind w:left="1600" w:hanging="400"/>
      </w:pPr>
      <w:rPr>
        <w:rFonts w:ascii="Wingdings" w:hAnsi="Wingdings" w:hint="default"/>
      </w:rPr>
    </w:lvl>
    <w:lvl w:ilvl="4" w:tplc="D7A6735A">
      <w:start w:val="1"/>
      <w:numFmt w:val="bullet"/>
      <w:lvlText w:val="-"/>
      <w:lvlJc w:val="left"/>
      <w:pPr>
        <w:ind w:left="2000" w:hanging="400"/>
      </w:pPr>
      <w:rPr>
        <w:rFonts w:ascii="LG스마트체 Light" w:eastAsia="LG스마트체 Light" w:hAnsi="LG스마트체 Light" w:hint="eastAsia"/>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9FB6A5D"/>
    <w:multiLevelType w:val="hybridMultilevel"/>
    <w:tmpl w:val="70FE6386"/>
    <w:lvl w:ilvl="0" w:tplc="4202C932">
      <w:start w:val="1"/>
      <w:numFmt w:val="bullet"/>
      <w:lvlText w:val=""/>
      <w:lvlJc w:val="left"/>
      <w:pPr>
        <w:ind w:left="880" w:hanging="440"/>
      </w:pPr>
      <w:rPr>
        <w:rFonts w:ascii="Symbol" w:eastAsia="MS Mincho" w:hAnsi="Symbol"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69" w15:restartNumberingAfterBreak="0">
    <w:nsid w:val="7E113908"/>
    <w:multiLevelType w:val="hybridMultilevel"/>
    <w:tmpl w:val="4CD03580"/>
    <w:lvl w:ilvl="0" w:tplc="4202C932">
      <w:start w:val="1"/>
      <w:numFmt w:val="bullet"/>
      <w:lvlText w:val=""/>
      <w:lvlJc w:val="left"/>
      <w:pPr>
        <w:ind w:left="880" w:hanging="440"/>
      </w:pPr>
      <w:rPr>
        <w:rFonts w:ascii="Symbol" w:eastAsia="MS Mincho" w:hAnsi="Symbol"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24957552">
    <w:abstractNumId w:val="2"/>
  </w:num>
  <w:num w:numId="2" w16cid:durableId="805926185">
    <w:abstractNumId w:val="1"/>
  </w:num>
  <w:num w:numId="3" w16cid:durableId="241112472">
    <w:abstractNumId w:val="0"/>
    <w:lvlOverride w:ilvl="0">
      <w:startOverride w:val="1"/>
    </w:lvlOverride>
  </w:num>
  <w:num w:numId="4" w16cid:durableId="392891855">
    <w:abstractNumId w:val="7"/>
    <w:lvlOverride w:ilvl="0">
      <w:startOverride w:val="1"/>
    </w:lvlOverride>
  </w:num>
  <w:num w:numId="5" w16cid:durableId="17415248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918841">
    <w:abstractNumId w:val="45"/>
  </w:num>
  <w:num w:numId="7" w16cid:durableId="1095514394">
    <w:abstractNumId w:val="70"/>
  </w:num>
  <w:num w:numId="8" w16cid:durableId="1310017725">
    <w:abstractNumId w:val="46"/>
  </w:num>
  <w:num w:numId="9" w16cid:durableId="67046111">
    <w:abstractNumId w:val="65"/>
  </w:num>
  <w:num w:numId="10" w16cid:durableId="946930398">
    <w:abstractNumId w:val="37"/>
    <w:lvlOverride w:ilvl="0">
      <w:startOverride w:val="1"/>
    </w:lvlOverride>
  </w:num>
  <w:num w:numId="11" w16cid:durableId="2039305977">
    <w:abstractNumId w:val="58"/>
  </w:num>
  <w:num w:numId="12" w16cid:durableId="9147016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888274">
    <w:abstractNumId w:val="27"/>
  </w:num>
  <w:num w:numId="14" w16cid:durableId="2007785082">
    <w:abstractNumId w:val="3"/>
  </w:num>
  <w:num w:numId="15" w16cid:durableId="1087577939">
    <w:abstractNumId w:val="5"/>
  </w:num>
  <w:num w:numId="16" w16cid:durableId="2024898355">
    <w:abstractNumId w:val="63"/>
  </w:num>
  <w:num w:numId="17" w16cid:durableId="47495088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17346399">
    <w:abstractNumId w:val="53"/>
    <w:lvlOverride w:ilvl="0">
      <w:startOverride w:val="1"/>
    </w:lvlOverride>
  </w:num>
  <w:num w:numId="19" w16cid:durableId="803541219">
    <w:abstractNumId w:val="67"/>
  </w:num>
  <w:num w:numId="20" w16cid:durableId="1040547312">
    <w:abstractNumId w:val="41"/>
    <w:lvlOverride w:ilvl="0">
      <w:startOverride w:val="1"/>
    </w:lvlOverride>
    <w:lvlOverride w:ilvl="1"/>
    <w:lvlOverride w:ilvl="2"/>
    <w:lvlOverride w:ilvl="3"/>
    <w:lvlOverride w:ilvl="4"/>
    <w:lvlOverride w:ilvl="5"/>
    <w:lvlOverride w:ilvl="6"/>
    <w:lvlOverride w:ilvl="7"/>
    <w:lvlOverride w:ilvl="8"/>
  </w:num>
  <w:num w:numId="21" w16cid:durableId="920679465">
    <w:abstractNumId w:val="32"/>
  </w:num>
  <w:num w:numId="22" w16cid:durableId="1843741247">
    <w:abstractNumId w:val="35"/>
  </w:num>
  <w:num w:numId="23" w16cid:durableId="800806782">
    <w:abstractNumId w:val="33"/>
  </w:num>
  <w:num w:numId="24" w16cid:durableId="1478835304">
    <w:abstractNumId w:val="24"/>
  </w:num>
  <w:num w:numId="25" w16cid:durableId="106900842">
    <w:abstractNumId w:val="39"/>
  </w:num>
  <w:num w:numId="26" w16cid:durableId="1604651989">
    <w:abstractNumId w:val="68"/>
  </w:num>
  <w:num w:numId="27" w16cid:durableId="2142765725">
    <w:abstractNumId w:val="57"/>
  </w:num>
  <w:num w:numId="28" w16cid:durableId="1899632752">
    <w:abstractNumId w:val="28"/>
  </w:num>
  <w:num w:numId="29" w16cid:durableId="2140297100">
    <w:abstractNumId w:val="62"/>
  </w:num>
  <w:num w:numId="30" w16cid:durableId="883639151">
    <w:abstractNumId w:val="40"/>
  </w:num>
  <w:num w:numId="31" w16cid:durableId="532694473">
    <w:abstractNumId w:val="55"/>
  </w:num>
  <w:num w:numId="32" w16cid:durableId="1553997830">
    <w:abstractNumId w:val="49"/>
  </w:num>
  <w:num w:numId="33" w16cid:durableId="1505512641">
    <w:abstractNumId w:val="47"/>
  </w:num>
  <w:num w:numId="34" w16cid:durableId="1256984814">
    <w:abstractNumId w:val="66"/>
  </w:num>
  <w:num w:numId="35" w16cid:durableId="1606771526">
    <w:abstractNumId w:val="69"/>
  </w:num>
  <w:num w:numId="36" w16cid:durableId="241526076">
    <w:abstractNumId w:val="28"/>
  </w:num>
  <w:num w:numId="37" w16cid:durableId="715087668">
    <w:abstractNumId w:val="54"/>
  </w:num>
  <w:num w:numId="38" w16cid:durableId="536820536">
    <w:abstractNumId w:val="17"/>
  </w:num>
  <w:num w:numId="39" w16cid:durableId="1185289648">
    <w:abstractNumId w:val="30"/>
  </w:num>
  <w:num w:numId="40" w16cid:durableId="1038970821">
    <w:abstractNumId w:val="62"/>
  </w:num>
  <w:num w:numId="41" w16cid:durableId="1554927201">
    <w:abstractNumId w:val="15"/>
  </w:num>
  <w:num w:numId="42" w16cid:durableId="630718748">
    <w:abstractNumId w:val="23"/>
  </w:num>
  <w:num w:numId="43" w16cid:durableId="443772844">
    <w:abstractNumId w:val="20"/>
  </w:num>
  <w:num w:numId="44" w16cid:durableId="1678846174">
    <w:abstractNumId w:val="19"/>
  </w:num>
  <w:num w:numId="45" w16cid:durableId="1124617339">
    <w:abstractNumId w:val="12"/>
  </w:num>
  <w:num w:numId="46" w16cid:durableId="245506440">
    <w:abstractNumId w:val="59"/>
  </w:num>
  <w:num w:numId="47" w16cid:durableId="1489130520">
    <w:abstractNumId w:val="36"/>
  </w:num>
  <w:num w:numId="48" w16cid:durableId="1528174921">
    <w:abstractNumId w:val="22"/>
  </w:num>
  <w:num w:numId="49" w16cid:durableId="2127848509">
    <w:abstractNumId w:val="44"/>
  </w:num>
  <w:num w:numId="50" w16cid:durableId="554583717">
    <w:abstractNumId w:val="4"/>
  </w:num>
  <w:num w:numId="51" w16cid:durableId="1035420569">
    <w:abstractNumId w:val="50"/>
  </w:num>
  <w:num w:numId="52" w16cid:durableId="1489903653">
    <w:abstractNumId w:val="8"/>
  </w:num>
  <w:num w:numId="53" w16cid:durableId="136997639">
    <w:abstractNumId w:val="48"/>
  </w:num>
  <w:num w:numId="54" w16cid:durableId="736322984">
    <w:abstractNumId w:val="29"/>
  </w:num>
  <w:num w:numId="55" w16cid:durableId="1258250655">
    <w:abstractNumId w:val="16"/>
  </w:num>
  <w:num w:numId="56" w16cid:durableId="923951945">
    <w:abstractNumId w:val="38"/>
  </w:num>
  <w:num w:numId="57" w16cid:durableId="1029723789">
    <w:abstractNumId w:val="52"/>
  </w:num>
  <w:num w:numId="58" w16cid:durableId="1087267409">
    <w:abstractNumId w:val="9"/>
  </w:num>
  <w:num w:numId="59" w16cid:durableId="1271204362">
    <w:abstractNumId w:val="26"/>
  </w:num>
  <w:num w:numId="60" w16cid:durableId="1228106526">
    <w:abstractNumId w:val="10"/>
  </w:num>
  <w:num w:numId="61" w16cid:durableId="166866322">
    <w:abstractNumId w:val="60"/>
  </w:num>
  <w:num w:numId="62" w16cid:durableId="1664503901">
    <w:abstractNumId w:val="47"/>
  </w:num>
  <w:num w:numId="63" w16cid:durableId="1563057811">
    <w:abstractNumId w:val="14"/>
  </w:num>
  <w:num w:numId="64" w16cid:durableId="348920390">
    <w:abstractNumId w:val="25"/>
  </w:num>
  <w:num w:numId="65" w16cid:durableId="345140357">
    <w:abstractNumId w:val="6"/>
  </w:num>
  <w:num w:numId="66" w16cid:durableId="765733151">
    <w:abstractNumId w:val="34"/>
  </w:num>
  <w:num w:numId="67" w16cid:durableId="597560098">
    <w:abstractNumId w:val="64"/>
  </w:num>
  <w:num w:numId="68" w16cid:durableId="545720818">
    <w:abstractNumId w:val="11"/>
  </w:num>
  <w:num w:numId="69" w16cid:durableId="310403496">
    <w:abstractNumId w:val="21"/>
  </w:num>
  <w:num w:numId="70" w16cid:durableId="8680206">
    <w:abstractNumId w:val="13"/>
  </w:num>
  <w:num w:numId="71" w16cid:durableId="645092189">
    <w:abstractNumId w:val="31"/>
  </w:num>
  <w:num w:numId="72" w16cid:durableId="524831664">
    <w:abstractNumId w:val="56"/>
  </w:num>
  <w:num w:numId="73" w16cid:durableId="862669945">
    <w:abstractNumId w:val="61"/>
  </w:num>
  <w:num w:numId="74" w16cid:durableId="233248295">
    <w:abstractNumId w:val="18"/>
  </w:num>
  <w:num w:numId="75" w16cid:durableId="11522560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425"/>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3EB3"/>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0A0C"/>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70F"/>
    <w:rsid w:val="002949E6"/>
    <w:rsid w:val="00294EFF"/>
    <w:rsid w:val="00294F53"/>
    <w:rsid w:val="002950B8"/>
    <w:rsid w:val="002950E5"/>
    <w:rsid w:val="0029563E"/>
    <w:rsid w:val="00295AA3"/>
    <w:rsid w:val="00295CC1"/>
    <w:rsid w:val="002961B4"/>
    <w:rsid w:val="0029665D"/>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54E"/>
    <w:rsid w:val="004D6BA3"/>
    <w:rsid w:val="004D6E6B"/>
    <w:rsid w:val="004D6F8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8AD"/>
    <w:rsid w:val="00561896"/>
    <w:rsid w:val="00561C42"/>
    <w:rsid w:val="00561E86"/>
    <w:rsid w:val="00561FBA"/>
    <w:rsid w:val="00562426"/>
    <w:rsid w:val="00562767"/>
    <w:rsid w:val="00563136"/>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52C"/>
    <w:rsid w:val="005A08D4"/>
    <w:rsid w:val="005A167E"/>
    <w:rsid w:val="005A178F"/>
    <w:rsid w:val="005A1B9A"/>
    <w:rsid w:val="005A1C02"/>
    <w:rsid w:val="005A2876"/>
    <w:rsid w:val="005A2F98"/>
    <w:rsid w:val="005A308A"/>
    <w:rsid w:val="005A4757"/>
    <w:rsid w:val="005A4E52"/>
    <w:rsid w:val="005A515D"/>
    <w:rsid w:val="005A5DA2"/>
    <w:rsid w:val="005A5EFD"/>
    <w:rsid w:val="005A5FD9"/>
    <w:rsid w:val="005A6096"/>
    <w:rsid w:val="005A63AE"/>
    <w:rsid w:val="005A6D1E"/>
    <w:rsid w:val="005A7374"/>
    <w:rsid w:val="005A7D7B"/>
    <w:rsid w:val="005B01F4"/>
    <w:rsid w:val="005B0375"/>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95D"/>
    <w:rsid w:val="005C0047"/>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93"/>
    <w:rsid w:val="007E456B"/>
    <w:rsid w:val="007E45EB"/>
    <w:rsid w:val="007E4DB5"/>
    <w:rsid w:val="007E50CA"/>
    <w:rsid w:val="007E51E5"/>
    <w:rsid w:val="007E5658"/>
    <w:rsid w:val="007E5D7D"/>
    <w:rsid w:val="007E60CD"/>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920"/>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F4"/>
    <w:rsid w:val="00BC4984"/>
    <w:rsid w:val="00BC4AC2"/>
    <w:rsid w:val="00BC4D0D"/>
    <w:rsid w:val="00BC559A"/>
    <w:rsid w:val="00BC5ABF"/>
    <w:rsid w:val="00BC5B6F"/>
    <w:rsid w:val="00BC62B2"/>
    <w:rsid w:val="00BC6715"/>
    <w:rsid w:val="00BC68A0"/>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1F6A"/>
    <w:rsid w:val="00FB2550"/>
    <w:rsid w:val="00FB2A12"/>
    <w:rsid w:val="00FB2A6A"/>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ED4B6-528E-4980-AA07-378E057C9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3543</TotalTime>
  <Pages>8</Pages>
  <Words>3665</Words>
  <Characters>20897</Characters>
  <Application>Microsoft Office Word</Application>
  <DocSecurity>0</DocSecurity>
  <Lines>174</Lines>
  <Paragraphs>49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Ko/6G Communication Standard TP</cp:lastModifiedBy>
  <cp:revision>98</cp:revision>
  <cp:lastPrinted>2013-04-04T11:22:00Z</cp:lastPrinted>
  <dcterms:created xsi:type="dcterms:W3CDTF">2024-12-30T01:14:00Z</dcterms:created>
  <dcterms:modified xsi:type="dcterms:W3CDTF">2025-08-14T00:59:00Z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